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70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3402"/>
        <w:gridCol w:w="2101"/>
        <w:gridCol w:w="2101"/>
        <w:gridCol w:w="1326"/>
        <w:gridCol w:w="1917"/>
        <w:gridCol w:w="2336"/>
      </w:tblGrid>
      <w:tr w:rsidR="00A04546" w:rsidRPr="003F6065" w14:paraId="42120C49" w14:textId="77777777" w:rsidTr="00E47235">
        <w:trPr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507506F" w14:textId="77777777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Secteur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4A58FD6" w14:textId="6BD62177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Service</w:t>
            </w:r>
            <w:r w:rsidR="003F6065"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 xml:space="preserve"> </w:t>
            </w: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/</w:t>
            </w:r>
            <w:r w:rsidR="003F6065"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 xml:space="preserve"> </w:t>
            </w: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Prestation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E8BD298" w14:textId="77777777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Compétence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51AE07D" w14:textId="77777777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Bénéficiaires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2323225C" w14:textId="77777777" w:rsidR="00BB500E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Évaluation</w:t>
            </w:r>
            <w:r w:rsidRPr="003F6065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</w:p>
          <w:p w14:paraId="15E9DC25" w14:textId="478FC1A8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de l</w:t>
            </w:r>
            <w:r w:rsidR="003F6065"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aspect vital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7AF3E2C" w14:textId="77777777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Planifications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8F109CF" w14:textId="77777777" w:rsidR="00A04546" w:rsidRPr="003F6065" w:rsidRDefault="00A04546" w:rsidP="009A0DA8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b/>
                <w:bCs/>
                <w:sz w:val="18"/>
                <w:lang w:val="fr-CH"/>
              </w:rPr>
              <w:t>Remarques</w:t>
            </w:r>
          </w:p>
        </w:tc>
      </w:tr>
      <w:tr w:rsidR="00A04546" w:rsidRPr="003F6065" w14:paraId="5D3B23EF" w14:textId="77777777" w:rsidTr="00E47235">
        <w:tc>
          <w:tcPr>
            <w:tcW w:w="1526" w:type="dxa"/>
          </w:tcPr>
          <w:p w14:paraId="496E2E4D" w14:textId="77777777" w:rsidR="00A04546" w:rsidRPr="003F6065" w:rsidRDefault="00103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Administration</w:t>
            </w:r>
          </w:p>
        </w:tc>
        <w:tc>
          <w:tcPr>
            <w:tcW w:w="3402" w:type="dxa"/>
          </w:tcPr>
          <w:p w14:paraId="22F31B63" w14:textId="6BAB85C9" w:rsidR="00A04546" w:rsidRPr="000C06F9" w:rsidRDefault="00103AB3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Exploitation d</w:t>
            </w:r>
            <w:r w:rsidR="003F6065"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’</w:t>
            </w: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un</w:t>
            </w:r>
            <w:r w:rsidR="003F6065"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 xml:space="preserve"> </w:t>
            </w: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point de rencontre d</w:t>
            </w:r>
            <w:r w:rsidR="003F6065"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’</w:t>
            </w: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urgence (PRU)</w:t>
            </w:r>
          </w:p>
          <w:p w14:paraId="636E6F84" w14:textId="2C59D4DB" w:rsidR="00767333" w:rsidRPr="003F6065" w:rsidRDefault="003F3ABC" w:rsidP="0076733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Si les canaux de communication sont indisponibles ou en cas de situations extraordinaires, un PRU est mis en </w:t>
            </w:r>
            <w:r w:rsidR="000C06F9">
              <w:rPr>
                <w:rFonts w:ascii="Arial" w:hAnsi="Arial" w:cs="Arial"/>
                <w:sz w:val="18"/>
                <w:lang w:val="fr-CH"/>
              </w:rPr>
              <w:t>place</w:t>
            </w:r>
            <w:r w:rsidRPr="003F6065">
              <w:rPr>
                <w:rFonts w:ascii="Arial" w:hAnsi="Arial" w:cs="Arial"/>
                <w:sz w:val="18"/>
                <w:lang w:val="fr-CH"/>
              </w:rPr>
              <w:t>.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1EB910E5" w14:textId="4F23F52E" w:rsidR="003F3ABC" w:rsidRPr="003F6065" w:rsidRDefault="000C06F9" w:rsidP="0076733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L’alerte d</w:t>
            </w:r>
            <w:r w:rsidR="003F3ABC" w:rsidRPr="003F6065">
              <w:rPr>
                <w:rFonts w:ascii="Arial" w:hAnsi="Arial" w:cs="Arial"/>
                <w:sz w:val="18"/>
                <w:lang w:val="fr-CH"/>
              </w:rPr>
              <w:t>es organisations</w:t>
            </w:r>
            <w:r>
              <w:rPr>
                <w:rFonts w:ascii="Arial" w:hAnsi="Arial" w:cs="Arial"/>
                <w:sz w:val="18"/>
                <w:lang w:val="fr-CH"/>
              </w:rPr>
              <w:t xml:space="preserve"> d’intervention</w:t>
            </w:r>
            <w:r w:rsidR="003F3ABC" w:rsidRPr="003F6065">
              <w:rPr>
                <w:rFonts w:ascii="Arial" w:hAnsi="Arial" w:cs="Arial"/>
                <w:sz w:val="18"/>
                <w:lang w:val="fr-CH"/>
              </w:rPr>
              <w:t xml:space="preserve">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="003F3ABC" w:rsidRPr="003F6065">
              <w:rPr>
                <w:rFonts w:ascii="Arial" w:hAnsi="Arial" w:cs="Arial"/>
                <w:sz w:val="18"/>
                <w:lang w:val="fr-CH"/>
              </w:rPr>
              <w:t>urgence est garanti</w:t>
            </w:r>
            <w:r>
              <w:rPr>
                <w:rFonts w:ascii="Arial" w:hAnsi="Arial" w:cs="Arial"/>
                <w:sz w:val="18"/>
                <w:lang w:val="fr-CH"/>
              </w:rPr>
              <w:t xml:space="preserve">e </w:t>
            </w:r>
            <w:r w:rsidR="003F3ABC" w:rsidRPr="003F6065">
              <w:rPr>
                <w:rFonts w:ascii="Arial" w:hAnsi="Arial" w:cs="Arial"/>
                <w:sz w:val="18"/>
                <w:lang w:val="fr-CH"/>
              </w:rPr>
              <w:t>grâce au PRU.</w:t>
            </w:r>
          </w:p>
          <w:p w14:paraId="2560BC43" w14:textId="6C51AB18" w:rsidR="00103AB3" w:rsidRPr="003F6065" w:rsidRDefault="003F3ABC" w:rsidP="009F29FC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transmission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information est assurée par le biais du PRU.</w:t>
            </w:r>
          </w:p>
        </w:tc>
        <w:tc>
          <w:tcPr>
            <w:tcW w:w="2101" w:type="dxa"/>
          </w:tcPr>
          <w:p w14:paraId="0B23179B" w14:textId="4E05758E" w:rsidR="00A04546" w:rsidRPr="003F6065" w:rsidRDefault="00103AB3">
            <w:pPr>
              <w:rPr>
                <w:rFonts w:ascii="Arial" w:hAnsi="Arial" w:cs="Arial"/>
                <w:sz w:val="18"/>
                <w:szCs w:val="18"/>
                <w:highlight w:val="yellow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administration communale</w:t>
            </w:r>
          </w:p>
        </w:tc>
        <w:tc>
          <w:tcPr>
            <w:tcW w:w="2101" w:type="dxa"/>
          </w:tcPr>
          <w:p w14:paraId="5C4D50CD" w14:textId="77777777" w:rsidR="00A04546" w:rsidRPr="003F6065" w:rsidRDefault="00103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Public et accessible à toutes et tous</w:t>
            </w:r>
          </w:p>
        </w:tc>
        <w:tc>
          <w:tcPr>
            <w:tcW w:w="1326" w:type="dxa"/>
          </w:tcPr>
          <w:p w14:paraId="1D21AADB" w14:textId="77777777" w:rsidR="00A04546" w:rsidRPr="003F6065" w:rsidRDefault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2FA459FE" w14:textId="670A597C" w:rsidR="00A04546" w:rsidRPr="003F6065" w:rsidRDefault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des PRU effectuées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</w:p>
          <w:p w14:paraId="4F1D3539" w14:textId="77777777" w:rsidR="00BB500E" w:rsidRPr="003F6065" w:rsidRDefault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E2282EF" w14:textId="77777777" w:rsidR="00BB500E" w:rsidRPr="003F6065" w:rsidRDefault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3FCC2ADE" w14:textId="77777777" w:rsidR="009A0DA8" w:rsidRPr="003F6065" w:rsidRDefault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B9BDE4E" w14:textId="559E9522" w:rsidR="009A0DA8" w:rsidRPr="003F6065" w:rsidRDefault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1A5F18E9" w14:textId="77777777" w:rsidR="009A0DA8" w:rsidRPr="003F6065" w:rsidRDefault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E8F9E48" w14:textId="4D4B5931" w:rsidR="009A0DA8" w:rsidRPr="003F6065" w:rsidRDefault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56B7EA13" w14:textId="77777777" w:rsidR="00A04546" w:rsidRPr="003F6065" w:rsidRDefault="00D14924" w:rsidP="00F62A51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3ACA73AB" w14:textId="4A679427" w:rsidR="007E21CC" w:rsidRPr="003F6065" w:rsidRDefault="00000000" w:rsidP="00F62A51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8" w:history="1">
              <w:r w:rsidR="003846E0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>www.starlink.com</w:t>
              </w:r>
            </w:hyperlink>
            <w:r w:rsidR="003846E0" w:rsidRPr="003F6065">
              <w:rPr>
                <w:rFonts w:ascii="Arial" w:hAnsi="Arial" w:cs="Arial"/>
                <w:sz w:val="18"/>
                <w:lang w:val="fr-CH"/>
              </w:rPr>
              <w:t xml:space="preserve"> (accès internet)</w:t>
            </w:r>
          </w:p>
          <w:p w14:paraId="1636B2C3" w14:textId="1DCACD7C" w:rsidR="007E21CC" w:rsidRPr="003F6065" w:rsidRDefault="007E21CC" w:rsidP="00F62A51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Appareil de traduction indépendant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Internet</w:t>
            </w:r>
          </w:p>
          <w:p w14:paraId="1F014363" w14:textId="61E4E49D" w:rsidR="005B3D62" w:rsidRPr="003F6065" w:rsidRDefault="005B3D62" w:rsidP="00F62A51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Coordination avec </w:t>
            </w:r>
            <w:r w:rsidR="000C06F9">
              <w:rPr>
                <w:rFonts w:ascii="Arial" w:hAnsi="Arial" w:cs="Arial"/>
                <w:sz w:val="18"/>
                <w:lang w:val="fr-CH"/>
              </w:rPr>
              <w:t>l’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OCRég/OCCne</w:t>
            </w:r>
          </w:p>
          <w:p w14:paraId="1853ADB1" w14:textId="6285A48D" w:rsidR="00F62A51" w:rsidRPr="003F6065" w:rsidRDefault="00000000" w:rsidP="00F62A51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9" w:history="1">
              <w:r w:rsidR="003846E0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>Consignes de l</w:t>
              </w:r>
              <w:r w:rsidR="003F6065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>’</w:t>
              </w:r>
              <w:r w:rsidR="003846E0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>OSSM</w:t>
              </w:r>
            </w:hyperlink>
          </w:p>
        </w:tc>
      </w:tr>
      <w:tr w:rsidR="00103AB3" w:rsidRPr="003F6065" w14:paraId="34B7B3D9" w14:textId="77777777" w:rsidTr="00E47235">
        <w:tc>
          <w:tcPr>
            <w:tcW w:w="1526" w:type="dxa"/>
          </w:tcPr>
          <w:p w14:paraId="40DE7059" w14:textId="2E38716C" w:rsidR="00103AB3" w:rsidRPr="003F6065" w:rsidRDefault="00103AB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3F6065">
              <w:rPr>
                <w:rFonts w:ascii="Arial" w:hAnsi="Arial" w:cs="Arial"/>
                <w:sz w:val="18"/>
                <w:lang w:val="fr-CH"/>
              </w:rPr>
              <w:t>Approvision</w:t>
            </w:r>
            <w:r w:rsidR="003F6065">
              <w:rPr>
                <w:rFonts w:ascii="Arial" w:hAnsi="Arial" w:cs="Arial"/>
                <w:sz w:val="18"/>
                <w:lang w:val="fr-CH"/>
              </w:rPr>
              <w:t>-</w:t>
            </w:r>
            <w:r w:rsidRPr="003F6065">
              <w:rPr>
                <w:rFonts w:ascii="Arial" w:hAnsi="Arial" w:cs="Arial"/>
                <w:sz w:val="18"/>
                <w:lang w:val="fr-CH"/>
              </w:rPr>
              <w:t>nement</w:t>
            </w:r>
            <w:proofErr w:type="spellEnd"/>
            <w:r w:rsidRPr="003F6065">
              <w:rPr>
                <w:rFonts w:ascii="Arial" w:hAnsi="Arial" w:cs="Arial"/>
                <w:sz w:val="18"/>
                <w:lang w:val="fr-CH"/>
              </w:rPr>
              <w:t xml:space="preserve"> et élimination</w:t>
            </w:r>
          </w:p>
        </w:tc>
        <w:tc>
          <w:tcPr>
            <w:tcW w:w="3402" w:type="dxa"/>
          </w:tcPr>
          <w:p w14:paraId="3088EF15" w14:textId="77777777" w:rsidR="00103AB3" w:rsidRPr="000C06F9" w:rsidRDefault="00103AB3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Approvisionnement en eau potable</w:t>
            </w:r>
          </w:p>
          <w:p w14:paraId="1048CFEC" w14:textId="7D127C94" w:rsidR="00103AB3" w:rsidRPr="003F6065" w:rsidRDefault="00103AB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eau potable est fournie par le réseau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dans la qualité exigée par le législateur.</w:t>
            </w:r>
          </w:p>
          <w:p w14:paraId="1C9254D0" w14:textId="0CBC7096" w:rsidR="00103AB3" w:rsidRPr="003F6065" w:rsidRDefault="00103AB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résolution des dysfonctionnements importants (p.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ex. rupture de conduites) 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effectue sans délai.</w:t>
            </w:r>
          </w:p>
        </w:tc>
        <w:tc>
          <w:tcPr>
            <w:tcW w:w="2101" w:type="dxa"/>
          </w:tcPr>
          <w:p w14:paraId="34CC710D" w14:textId="458274A3" w:rsidR="00103AB3" w:rsidRPr="003F6065" w:rsidRDefault="00103AB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Approvisionnement en eau (communal et/ou régional)</w:t>
            </w:r>
          </w:p>
        </w:tc>
        <w:tc>
          <w:tcPr>
            <w:tcW w:w="2101" w:type="dxa"/>
          </w:tcPr>
          <w:p w14:paraId="2219D01F" w14:textId="2F6EEED3" w:rsidR="00103AB3" w:rsidRPr="003F6065" w:rsidRDefault="00AB6C6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sociétés industrielles et artisanales comprises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26" w:type="dxa"/>
          </w:tcPr>
          <w:p w14:paraId="53520B47" w14:textId="77777777" w:rsidR="00103AB3" w:rsidRPr="003F6065" w:rsidRDefault="00103AB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0D8790B7" w14:textId="5E0927BD" w:rsidR="00103AB3" w:rsidRPr="003F6065" w:rsidRDefault="00103AB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en eau effectuées au niveau communal et régional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24C781DE" w14:textId="77777777" w:rsidR="00103AB3" w:rsidRPr="003F6065" w:rsidRDefault="00103AB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4CDDCC5" w14:textId="7CB480CB" w:rsidR="00103AB3" w:rsidRPr="003F6065" w:rsidRDefault="00103AB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</w:t>
            </w:r>
          </w:p>
        </w:tc>
        <w:tc>
          <w:tcPr>
            <w:tcW w:w="2336" w:type="dxa"/>
          </w:tcPr>
          <w:p w14:paraId="6829D54B" w14:textId="77777777" w:rsidR="00103AB3" w:rsidRPr="003F6065" w:rsidRDefault="00D14924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</w:p>
          <w:p w14:paraId="1F19B5B9" w14:textId="77777777" w:rsidR="00F62A51" w:rsidRPr="003F6065" w:rsidRDefault="00F62A5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89B311B" w14:textId="355B60F2" w:rsidR="00F62A51" w:rsidRPr="003F6065" w:rsidRDefault="0000000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0" w:history="1">
              <w:r w:rsidR="003846E0" w:rsidRPr="003F6065">
                <w:rPr>
                  <w:rStyle w:val="Lienhypertexte"/>
                  <w:rFonts w:ascii="Arial" w:hAnsi="Arial"/>
                  <w:sz w:val="18"/>
                  <w:lang w:val="fr-CH"/>
                </w:rPr>
                <w:t>OED | Alimentation en eau</w:t>
              </w:r>
            </w:hyperlink>
          </w:p>
        </w:tc>
      </w:tr>
      <w:tr w:rsidR="00BB500E" w:rsidRPr="003F6065" w14:paraId="0276C5C6" w14:textId="77777777" w:rsidTr="00E47235">
        <w:tc>
          <w:tcPr>
            <w:tcW w:w="1526" w:type="dxa"/>
          </w:tcPr>
          <w:p w14:paraId="067B59E9" w14:textId="46640A62" w:rsidR="00BB500E" w:rsidRPr="003F6065" w:rsidRDefault="00BB500E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3F6065">
              <w:rPr>
                <w:rFonts w:ascii="Arial" w:hAnsi="Arial" w:cs="Arial"/>
                <w:sz w:val="18"/>
                <w:lang w:val="fr-CH"/>
              </w:rPr>
              <w:t>Approvision</w:t>
            </w:r>
            <w:r w:rsidR="003F6065">
              <w:rPr>
                <w:rFonts w:ascii="Arial" w:hAnsi="Arial" w:cs="Arial"/>
                <w:sz w:val="18"/>
                <w:lang w:val="fr-CH"/>
              </w:rPr>
              <w:t>-</w:t>
            </w:r>
            <w:r w:rsidRPr="003F6065">
              <w:rPr>
                <w:rFonts w:ascii="Arial" w:hAnsi="Arial" w:cs="Arial"/>
                <w:sz w:val="18"/>
                <w:lang w:val="fr-CH"/>
              </w:rPr>
              <w:t>nement</w:t>
            </w:r>
            <w:proofErr w:type="spellEnd"/>
            <w:r w:rsidRPr="003F6065">
              <w:rPr>
                <w:rFonts w:ascii="Arial" w:hAnsi="Arial" w:cs="Arial"/>
                <w:sz w:val="18"/>
                <w:lang w:val="fr-CH"/>
              </w:rPr>
              <w:t xml:space="preserve"> et élimination</w:t>
            </w:r>
          </w:p>
        </w:tc>
        <w:tc>
          <w:tcPr>
            <w:tcW w:w="3402" w:type="dxa"/>
          </w:tcPr>
          <w:p w14:paraId="4534FD76" w14:textId="77777777" w:rsidR="00BB500E" w:rsidRPr="000C06F9" w:rsidRDefault="00BB500E" w:rsidP="00BB500E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Eaux usées</w:t>
            </w:r>
          </w:p>
          <w:p w14:paraId="1CEC6C17" w14:textId="483B1CC8" w:rsidR="00BB500E" w:rsidRPr="003F6065" w:rsidRDefault="00BB500E" w:rsidP="00BB500E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eaux usées sont éliminées sans restriction par le réseau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évacuation dans la qualité exigée par le législateur.</w:t>
            </w:r>
          </w:p>
          <w:p w14:paraId="2BD66F30" w14:textId="117690C1" w:rsidR="009F29FC" w:rsidRPr="003F6065" w:rsidRDefault="00BB500E" w:rsidP="009F29FC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résolution des dysfonctionnements importants (p.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ex. rupture de conduites) 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effectue sans délai.</w:t>
            </w:r>
          </w:p>
        </w:tc>
        <w:tc>
          <w:tcPr>
            <w:tcW w:w="2101" w:type="dxa"/>
          </w:tcPr>
          <w:p w14:paraId="5C745CED" w14:textId="649DADB9" w:rsidR="00BB500E" w:rsidRPr="003F6065" w:rsidRDefault="00BB500E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des eaux usées de la commune et les STEP.</w:t>
            </w:r>
          </w:p>
        </w:tc>
        <w:tc>
          <w:tcPr>
            <w:tcW w:w="2101" w:type="dxa"/>
          </w:tcPr>
          <w:p w14:paraId="771DDDCA" w14:textId="4559FDD2" w:rsidR="00BB500E" w:rsidRPr="003F6065" w:rsidRDefault="00AB6C65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sociétés industrielles et artisanales comprises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26" w:type="dxa"/>
          </w:tcPr>
          <w:p w14:paraId="4FD28B96" w14:textId="77777777" w:rsidR="00BB500E" w:rsidRPr="003F6065" w:rsidRDefault="00BB500E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5B41E769" w14:textId="69DA8A51" w:rsidR="00BB500E" w:rsidRPr="003F6065" w:rsidRDefault="00BB500E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des eaux usées effectuées au niveau communal et régional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0A5792E5" w14:textId="77777777" w:rsidR="00BB500E" w:rsidRPr="003F6065" w:rsidRDefault="00BB500E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B48D65A" w14:textId="77777777" w:rsidR="00BB500E" w:rsidRPr="003F6065" w:rsidRDefault="00BB500E" w:rsidP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0D088B07" w14:textId="77777777" w:rsidR="009A0DA8" w:rsidRPr="003F6065" w:rsidRDefault="009A0DA8" w:rsidP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A83BA9A" w14:textId="1BCA4C6F" w:rsidR="009A0DA8" w:rsidRPr="003F6065" w:rsidRDefault="009A0DA8" w:rsidP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1A9A80FC" w14:textId="77777777" w:rsidR="00D14924" w:rsidRPr="003F6065" w:rsidRDefault="00D14924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345311A0" w14:textId="77777777" w:rsidR="00D14924" w:rsidRPr="003F6065" w:rsidRDefault="00D14924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2FD6CA8" w14:textId="77777777" w:rsidR="00BB500E" w:rsidRPr="003F6065" w:rsidRDefault="00BB500E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Ne pas traiter les eaux usées provoque une pollution des nappes phréatiques et des risques importants pour la santé.</w:t>
            </w:r>
          </w:p>
          <w:p w14:paraId="3EA46435" w14:textId="77777777" w:rsidR="00F62A51" w:rsidRPr="003F6065" w:rsidRDefault="00F62A5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1D7E4F0" w14:textId="35415302" w:rsidR="00F62A51" w:rsidRPr="003F6065" w:rsidRDefault="00000000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1" w:history="1">
              <w:r w:rsidR="00B5564A" w:rsidRPr="003F6065">
                <w:rPr>
                  <w:rStyle w:val="Lienhypertexte"/>
                  <w:rFonts w:ascii="Arial" w:hAnsi="Arial"/>
                  <w:sz w:val="18"/>
                  <w:lang w:val="fr-CH"/>
                </w:rPr>
                <w:t>OED | Alimentation en eau</w:t>
              </w:r>
            </w:hyperlink>
          </w:p>
        </w:tc>
      </w:tr>
      <w:tr w:rsidR="007B37DD" w:rsidRPr="003F6065" w14:paraId="3C845714" w14:textId="77777777" w:rsidTr="00E47235">
        <w:tc>
          <w:tcPr>
            <w:tcW w:w="1526" w:type="dxa"/>
          </w:tcPr>
          <w:p w14:paraId="0A932F72" w14:textId="06EF3CC1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3F6065">
              <w:rPr>
                <w:rFonts w:ascii="Arial" w:hAnsi="Arial" w:cs="Arial"/>
                <w:sz w:val="18"/>
                <w:lang w:val="fr-CH"/>
              </w:rPr>
              <w:t>Approvision</w:t>
            </w:r>
            <w:r w:rsidR="003F6065">
              <w:rPr>
                <w:rFonts w:ascii="Arial" w:hAnsi="Arial" w:cs="Arial"/>
                <w:sz w:val="18"/>
                <w:lang w:val="fr-CH"/>
              </w:rPr>
              <w:t>-</w:t>
            </w:r>
            <w:r w:rsidRPr="003F6065">
              <w:rPr>
                <w:rFonts w:ascii="Arial" w:hAnsi="Arial" w:cs="Arial"/>
                <w:sz w:val="18"/>
                <w:lang w:val="fr-CH"/>
              </w:rPr>
              <w:t>nement</w:t>
            </w:r>
            <w:proofErr w:type="spellEnd"/>
            <w:r w:rsidRPr="003F6065">
              <w:rPr>
                <w:rFonts w:ascii="Arial" w:hAnsi="Arial" w:cs="Arial"/>
                <w:sz w:val="18"/>
                <w:lang w:val="fr-CH"/>
              </w:rPr>
              <w:t xml:space="preserve"> et élimination</w:t>
            </w:r>
          </w:p>
        </w:tc>
        <w:tc>
          <w:tcPr>
            <w:tcW w:w="3402" w:type="dxa"/>
          </w:tcPr>
          <w:p w14:paraId="4B8FE435" w14:textId="77777777" w:rsidR="007B37DD" w:rsidRPr="000C06F9" w:rsidRDefault="007B37DD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Déchets</w:t>
            </w:r>
          </w:p>
          <w:p w14:paraId="6A329D24" w14:textId="559C6184" w:rsidR="007B37DD" w:rsidRPr="003F6065" w:rsidRDefault="007B37DD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élimination des déchets fonctionne de manière illimitée ou au moins 1x </w:t>
            </w: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par semaine dans la zone de collecte dans la qualité exigée par le législateur.</w:t>
            </w:r>
          </w:p>
          <w:p w14:paraId="32C370C1" w14:textId="5C1997D5" w:rsidR="007B37DD" w:rsidRPr="003F6065" w:rsidRDefault="009F29FC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lieux de collecte des matériaux réutilisables sont exploités selon le plan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intervention.</w:t>
            </w:r>
          </w:p>
          <w:p w14:paraId="0EC96D90" w14:textId="77777777" w:rsidR="009F29FC" w:rsidRPr="003F6065" w:rsidRDefault="009F29FC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décharges sauvages sont enlevées.</w:t>
            </w:r>
          </w:p>
          <w:p w14:paraId="607CF1CC" w14:textId="01B2A1C6" w:rsidR="009F29FC" w:rsidRPr="003F6065" w:rsidRDefault="009F29FC" w:rsidP="009F29FC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incinération des déchets et/ou la décharge sont assurées selon les dispositions légales. </w:t>
            </w:r>
          </w:p>
        </w:tc>
        <w:tc>
          <w:tcPr>
            <w:tcW w:w="2101" w:type="dxa"/>
          </w:tcPr>
          <w:p w14:paraId="3454F9B3" w14:textId="165CAE9E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 xml:space="preserve">Secteur spécialisé des déchets de la commune et usines </w:t>
            </w: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incinération des ordures ménagères</w:t>
            </w:r>
          </w:p>
        </w:tc>
        <w:tc>
          <w:tcPr>
            <w:tcW w:w="2101" w:type="dxa"/>
          </w:tcPr>
          <w:p w14:paraId="3AFC12A8" w14:textId="2BB77759" w:rsidR="007B37DD" w:rsidRPr="003F6065" w:rsidRDefault="00AB6C6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 xml:space="preserve">Toutes et tous, sociétés industrielles et artisanales comprises, </w:t>
            </w: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dans la mesure où la commune ne se charge pas elle-même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élimination.</w:t>
            </w:r>
          </w:p>
        </w:tc>
        <w:tc>
          <w:tcPr>
            <w:tcW w:w="1326" w:type="dxa"/>
          </w:tcPr>
          <w:p w14:paraId="73648D92" w14:textId="77777777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Vital</w:t>
            </w:r>
          </w:p>
        </w:tc>
        <w:tc>
          <w:tcPr>
            <w:tcW w:w="1917" w:type="dxa"/>
          </w:tcPr>
          <w:p w14:paraId="7398125F" w14:textId="179DD26C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Planifications dans le domaine des déchets effectuées </w:t>
            </w: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au niveau communal et régional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2C05BBED" w14:textId="77777777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3073ED9" w14:textId="75822981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</w:t>
            </w:r>
          </w:p>
          <w:p w14:paraId="1D7F2B9B" w14:textId="32B8A8F5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1369C10" w14:textId="40014155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0B342749" w14:textId="77777777" w:rsidR="00A22219" w:rsidRPr="003F6065" w:rsidRDefault="00A2221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F9F46D2" w14:textId="20181339" w:rsidR="00A22219" w:rsidRPr="003F6065" w:rsidRDefault="00A22219" w:rsidP="00A2221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56A62C60" w14:textId="77777777" w:rsidR="00A22219" w:rsidRPr="003F6065" w:rsidRDefault="00A22219" w:rsidP="00A2221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C6CA574" w14:textId="77777777" w:rsidR="00A22219" w:rsidRPr="003F6065" w:rsidRDefault="00A22219" w:rsidP="00A2221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25DC4745" w14:textId="77777777" w:rsidR="00A22219" w:rsidRPr="003F6065" w:rsidRDefault="00A2221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802FD2B" w14:textId="77777777" w:rsidR="007B37DD" w:rsidRPr="003F6065" w:rsidRDefault="007B37DD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36" w:type="dxa"/>
          </w:tcPr>
          <w:p w14:paraId="25B76205" w14:textId="77777777" w:rsidR="00D14924" w:rsidRPr="003F6065" w:rsidRDefault="00D14924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Alimentation électrique de secours</w:t>
            </w:r>
          </w:p>
          <w:p w14:paraId="073815FD" w14:textId="77777777" w:rsidR="00D14924" w:rsidRPr="003F6065" w:rsidRDefault="00D14924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89F567E" w14:textId="77777777" w:rsidR="007B37DD" w:rsidRPr="003F6065" w:rsidRDefault="009F29F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Les décharges sauvages provoquent une pollution des nappes phréatiques et des risques importants pour la santé.</w:t>
            </w:r>
          </w:p>
          <w:p w14:paraId="0D78C88A" w14:textId="77777777" w:rsidR="00A22219" w:rsidRPr="003F6065" w:rsidRDefault="00A2221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DB038EB" w14:textId="5FC3A8FC" w:rsidR="00A22219" w:rsidRPr="003F6065" w:rsidRDefault="0000000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2" w:history="1">
              <w:r w:rsidR="003846E0" w:rsidRPr="003F6065">
                <w:rPr>
                  <w:rStyle w:val="Lienhypertexte"/>
                  <w:rFonts w:ascii="Arial" w:hAnsi="Arial"/>
                  <w:sz w:val="18"/>
                  <w:lang w:val="fr-CH"/>
                </w:rPr>
                <w:t>OED | Déchets</w:t>
              </w:r>
            </w:hyperlink>
          </w:p>
        </w:tc>
      </w:tr>
      <w:tr w:rsidR="00E90795" w:rsidRPr="003F6065" w14:paraId="5D89DB61" w14:textId="77777777" w:rsidTr="00E47235">
        <w:tc>
          <w:tcPr>
            <w:tcW w:w="1526" w:type="dxa"/>
          </w:tcPr>
          <w:p w14:paraId="3C0D6D96" w14:textId="77777777" w:rsidR="00E90795" w:rsidRPr="003F6065" w:rsidRDefault="00E9079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Énergie</w:t>
            </w:r>
          </w:p>
        </w:tc>
        <w:tc>
          <w:tcPr>
            <w:tcW w:w="3402" w:type="dxa"/>
          </w:tcPr>
          <w:p w14:paraId="6A31ECBB" w14:textId="77777777" w:rsidR="00E90795" w:rsidRPr="000C06F9" w:rsidRDefault="00E12E22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C06F9">
              <w:rPr>
                <w:rFonts w:ascii="Arial" w:hAnsi="Arial" w:cs="Arial"/>
                <w:b/>
                <w:bCs/>
                <w:sz w:val="18"/>
                <w:lang w:val="fr-CH"/>
              </w:rPr>
              <w:t>Approvisionnement en électricité</w:t>
            </w:r>
          </w:p>
          <w:p w14:paraId="1853A897" w14:textId="20F2A082" w:rsidR="00E90795" w:rsidRPr="003F6065" w:rsidRDefault="00E12E22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énergie électrique est à disposition des bénéficiaires de manière illimitée (</w:t>
            </w:r>
            <w:r w:rsidR="000C06F9">
              <w:rPr>
                <w:rFonts w:ascii="Arial" w:hAnsi="Arial" w:cs="Arial"/>
                <w:sz w:val="18"/>
                <w:lang w:val="fr-CH"/>
              </w:rPr>
              <w:t>sauf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prescription de rang supérieur en cas de pénurie) </w:t>
            </w:r>
          </w:p>
          <w:p w14:paraId="5C77567C" w14:textId="091D0C92" w:rsidR="00E90795" w:rsidRPr="003F6065" w:rsidRDefault="00E90795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résolution de pannes importantes 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effectue dans un délai utile.</w:t>
            </w:r>
          </w:p>
        </w:tc>
        <w:tc>
          <w:tcPr>
            <w:tcW w:w="2101" w:type="dxa"/>
          </w:tcPr>
          <w:p w14:paraId="693DC4A3" w14:textId="136E0F29" w:rsidR="00E90795" w:rsidRPr="003F6065" w:rsidRDefault="00E12E2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Approvisionnement en électricité au</w:t>
            </w:r>
            <w:r w:rsidR="000C06F9">
              <w:rPr>
                <w:rFonts w:ascii="Arial" w:hAnsi="Arial" w:cs="Arial"/>
                <w:sz w:val="18"/>
                <w:lang w:val="fr-CH"/>
              </w:rPr>
              <w:t xml:space="preserve">x niveaux </w:t>
            </w:r>
            <w:r w:rsidRPr="003F6065">
              <w:rPr>
                <w:rFonts w:ascii="Arial" w:hAnsi="Arial" w:cs="Arial"/>
                <w:sz w:val="18"/>
                <w:lang w:val="fr-CH"/>
              </w:rPr>
              <w:t>communal et régional</w:t>
            </w:r>
          </w:p>
        </w:tc>
        <w:tc>
          <w:tcPr>
            <w:tcW w:w="2101" w:type="dxa"/>
          </w:tcPr>
          <w:p w14:paraId="01AD8925" w14:textId="76AF8409" w:rsidR="00E90795" w:rsidRPr="003F6065" w:rsidRDefault="00AB6C6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sociétés industrielles et artisanales comprises</w:t>
            </w:r>
          </w:p>
        </w:tc>
        <w:tc>
          <w:tcPr>
            <w:tcW w:w="1326" w:type="dxa"/>
          </w:tcPr>
          <w:p w14:paraId="79730171" w14:textId="77777777" w:rsidR="00E90795" w:rsidRPr="003F6065" w:rsidRDefault="00E9079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4C0B4450" w14:textId="3D8FE6F9" w:rsidR="00E90795" w:rsidRPr="003F6065" w:rsidRDefault="00E9079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électricité effectuées au</w:t>
            </w:r>
            <w:r w:rsidR="00E2627F">
              <w:rPr>
                <w:rFonts w:ascii="Arial" w:hAnsi="Arial" w:cs="Arial"/>
                <w:sz w:val="18"/>
                <w:lang w:val="fr-CH"/>
              </w:rPr>
              <w:t>x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niveau</w:t>
            </w:r>
            <w:r w:rsidR="00E2627F">
              <w:rPr>
                <w:rFonts w:ascii="Arial" w:hAnsi="Arial" w:cs="Arial"/>
                <w:sz w:val="18"/>
                <w:lang w:val="fr-CH"/>
              </w:rPr>
              <w:t>x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communal et régional</w:t>
            </w:r>
            <w:r w:rsidR="00E2627F">
              <w:rPr>
                <w:rFonts w:ascii="Arial" w:hAnsi="Arial" w:cs="Arial"/>
                <w:sz w:val="18"/>
                <w:lang w:val="fr-CH"/>
              </w:rPr>
              <w:t> 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67488FFF" w14:textId="77777777" w:rsidR="00E90795" w:rsidRPr="003F6065" w:rsidRDefault="00E9079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5C908CB" w14:textId="1C3FD96A" w:rsidR="00E90795" w:rsidRPr="003F6065" w:rsidRDefault="00E9079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588479D1" w14:textId="6D423D9C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1427F16" w14:textId="0F123ABF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6C6347CF" w14:textId="77777777" w:rsidR="00E90795" w:rsidRPr="003F6065" w:rsidRDefault="00E9079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36" w:type="dxa"/>
          </w:tcPr>
          <w:p w14:paraId="37C6B7E7" w14:textId="77777777" w:rsidR="00E90795" w:rsidRPr="003F6065" w:rsidRDefault="00D14924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</w:tc>
      </w:tr>
      <w:tr w:rsidR="00394D29" w:rsidRPr="003F6065" w14:paraId="3279FC82" w14:textId="77777777" w:rsidTr="00E47235">
        <w:tc>
          <w:tcPr>
            <w:tcW w:w="1526" w:type="dxa"/>
          </w:tcPr>
          <w:p w14:paraId="0CB1F680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Énergie</w:t>
            </w:r>
          </w:p>
        </w:tc>
        <w:tc>
          <w:tcPr>
            <w:tcW w:w="3402" w:type="dxa"/>
          </w:tcPr>
          <w:p w14:paraId="224A534F" w14:textId="77777777" w:rsidR="00394D29" w:rsidRPr="00E2627F" w:rsidRDefault="00394D29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Approvisionnement en gaz</w:t>
            </w:r>
          </w:p>
          <w:p w14:paraId="186ACA21" w14:textId="2EC7C710" w:rsidR="00394D29" w:rsidRPr="003F6065" w:rsidRDefault="00287157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 gaz est à disposition des bénéficiaires de manière illimitée (</w:t>
            </w:r>
            <w:r w:rsidR="00E2627F">
              <w:rPr>
                <w:rFonts w:ascii="Arial" w:hAnsi="Arial" w:cs="Arial"/>
                <w:sz w:val="18"/>
                <w:lang w:val="fr-CH"/>
              </w:rPr>
              <w:t>sauf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prescription de rang supérieur en cas de pénurie).</w:t>
            </w:r>
          </w:p>
          <w:p w14:paraId="49929FCC" w14:textId="7BA894A0" w:rsidR="00394D29" w:rsidRPr="003F6065" w:rsidRDefault="00394D2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résolution de pannes importantes 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effectue dans un délai utile.</w:t>
            </w:r>
          </w:p>
        </w:tc>
        <w:tc>
          <w:tcPr>
            <w:tcW w:w="2101" w:type="dxa"/>
          </w:tcPr>
          <w:p w14:paraId="19092D01" w14:textId="60664D2A" w:rsidR="00394D29" w:rsidRPr="003F6065" w:rsidRDefault="0028715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Approvisionnement en gaz au</w:t>
            </w:r>
            <w:r w:rsidR="00E2627F">
              <w:rPr>
                <w:rFonts w:ascii="Arial" w:hAnsi="Arial" w:cs="Arial"/>
                <w:sz w:val="18"/>
                <w:lang w:val="fr-CH"/>
              </w:rPr>
              <w:t>x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niveau</w:t>
            </w:r>
            <w:r w:rsidR="00E2627F">
              <w:rPr>
                <w:rFonts w:ascii="Arial" w:hAnsi="Arial" w:cs="Arial"/>
                <w:sz w:val="18"/>
                <w:lang w:val="fr-CH"/>
              </w:rPr>
              <w:t>x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communal et régional</w:t>
            </w:r>
          </w:p>
        </w:tc>
        <w:tc>
          <w:tcPr>
            <w:tcW w:w="2101" w:type="dxa"/>
          </w:tcPr>
          <w:p w14:paraId="10103551" w14:textId="4FAB25F7" w:rsidR="00394D29" w:rsidRPr="003F6065" w:rsidRDefault="00AB6C6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sociétés industrielles et artisanales comprises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26" w:type="dxa"/>
          </w:tcPr>
          <w:p w14:paraId="58DA0F82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4091D913" w14:textId="6E69A112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en gaz effectuées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3641887E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6595CA2" w14:textId="324B618E" w:rsidR="00394D29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10EA4254" w14:textId="77777777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C0189F6" w14:textId="4D4384D3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02167458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94D29" w:rsidRPr="003F6065" w14:paraId="04586AE9" w14:textId="77777777" w:rsidTr="00E47235">
        <w:tc>
          <w:tcPr>
            <w:tcW w:w="1526" w:type="dxa"/>
          </w:tcPr>
          <w:p w14:paraId="26A51FCA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Énergie</w:t>
            </w:r>
          </w:p>
        </w:tc>
        <w:tc>
          <w:tcPr>
            <w:tcW w:w="3402" w:type="dxa"/>
          </w:tcPr>
          <w:p w14:paraId="27C13F62" w14:textId="77777777" w:rsidR="00394D29" w:rsidRPr="00E2627F" w:rsidRDefault="00394D29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Approvisionnement en chaleur</w:t>
            </w:r>
          </w:p>
          <w:p w14:paraId="3BA95284" w14:textId="0B8EF1D1" w:rsidR="00394D29" w:rsidRPr="003F6065" w:rsidRDefault="00394D2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énergie calorifique est à disposition des bénéficiaires de manière illimitée.</w:t>
            </w:r>
          </w:p>
          <w:p w14:paraId="550E006D" w14:textId="6E9B5898" w:rsidR="00394D29" w:rsidRPr="003F6065" w:rsidRDefault="00394D2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résolution de pannes importantes 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effectue dans un délai utile.</w:t>
            </w:r>
          </w:p>
        </w:tc>
        <w:tc>
          <w:tcPr>
            <w:tcW w:w="2101" w:type="dxa"/>
          </w:tcPr>
          <w:p w14:paraId="15333BA7" w14:textId="74715C9B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Prestataires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en chaleur dans la commune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01" w:type="dxa"/>
          </w:tcPr>
          <w:p w14:paraId="69843847" w14:textId="73DC492C" w:rsidR="00394D29" w:rsidRPr="003F6065" w:rsidRDefault="00AB6C6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sociétés industrielles et artisanales comprises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26" w:type="dxa"/>
          </w:tcPr>
          <w:p w14:paraId="106FE7FE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3023B9D7" w14:textId="16FB8222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en chaleur effectuées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659D3A48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7C4035D" w14:textId="7FDC32A7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55C1BC0F" w14:textId="77777777" w:rsidR="00394D29" w:rsidRPr="003F6065" w:rsidRDefault="00394D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B7997" w:rsidRPr="003F6065" w14:paraId="4908437C" w14:textId="77777777" w:rsidTr="00E47235">
        <w:tc>
          <w:tcPr>
            <w:tcW w:w="1526" w:type="dxa"/>
          </w:tcPr>
          <w:p w14:paraId="4F0A2FDB" w14:textId="77777777" w:rsidR="00CB7997" w:rsidRPr="003F6065" w:rsidRDefault="00CB799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Informatique et téléphonie</w:t>
            </w:r>
          </w:p>
        </w:tc>
        <w:tc>
          <w:tcPr>
            <w:tcW w:w="3402" w:type="dxa"/>
          </w:tcPr>
          <w:p w14:paraId="54DABBC6" w14:textId="77777777" w:rsidR="00CB7997" w:rsidRPr="00E2627F" w:rsidRDefault="00CB7997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Informatique et téléphonie</w:t>
            </w:r>
          </w:p>
          <w:p w14:paraId="66628540" w14:textId="425870FB" w:rsidR="00CB7997" w:rsidRPr="003F6065" w:rsidRDefault="00E2627F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Maintenir les</w:t>
            </w:r>
            <w:r w:rsidR="00433C85" w:rsidRPr="003F6065">
              <w:rPr>
                <w:rFonts w:ascii="Arial" w:hAnsi="Arial" w:cs="Arial"/>
                <w:sz w:val="18"/>
                <w:lang w:val="fr-CH"/>
              </w:rPr>
              <w:t xml:space="preserve"> infrastructures et applications TIC critiques pour les affaires</w:t>
            </w:r>
          </w:p>
          <w:p w14:paraId="6C9EDEC9" w14:textId="08E69C0A" w:rsidR="00433C85" w:rsidRPr="003F6065" w:rsidRDefault="00433C85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</w:t>
            </w:r>
            <w:r w:rsidR="00E2627F">
              <w:rPr>
                <w:rFonts w:ascii="Arial" w:hAnsi="Arial" w:cs="Arial"/>
                <w:sz w:val="18"/>
                <w:lang w:val="fr-CH"/>
              </w:rPr>
              <w:t>r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accès aux données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 et un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nombre minimal de postes de travail et imprimantes fonctionnels même en cas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urgence/d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événement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 extraordinaire</w:t>
            </w:r>
          </w:p>
          <w:p w14:paraId="25D5AC7F" w14:textId="2F38CD1B" w:rsidR="00433C85" w:rsidRPr="003F6065" w:rsidRDefault="00433C85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Maint</w:t>
            </w:r>
            <w:r w:rsidR="00E2627F">
              <w:rPr>
                <w:rFonts w:ascii="Arial" w:hAnsi="Arial" w:cs="Arial"/>
                <w:sz w:val="18"/>
                <w:lang w:val="fr-CH"/>
              </w:rPr>
              <w:t>enir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la téléphonie</w:t>
            </w:r>
          </w:p>
          <w:p w14:paraId="790CDB94" w14:textId="655F5D96" w:rsidR="00CB7997" w:rsidRPr="003F6065" w:rsidRDefault="00433C85" w:rsidP="009A0DA8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r </w:t>
            </w:r>
            <w:r w:rsidRPr="003F6065">
              <w:rPr>
                <w:rFonts w:ascii="Arial" w:hAnsi="Arial" w:cs="Arial"/>
                <w:sz w:val="18"/>
                <w:lang w:val="fr-CH"/>
              </w:rPr>
              <w:t>un support minimal</w:t>
            </w:r>
          </w:p>
        </w:tc>
        <w:tc>
          <w:tcPr>
            <w:tcW w:w="2101" w:type="dxa"/>
          </w:tcPr>
          <w:p w14:paraId="7D50A4B0" w14:textId="77777777" w:rsidR="00CB7997" w:rsidRPr="003F6065" w:rsidRDefault="00CB799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des services informatiques</w:t>
            </w:r>
          </w:p>
        </w:tc>
        <w:tc>
          <w:tcPr>
            <w:tcW w:w="2101" w:type="dxa"/>
          </w:tcPr>
          <w:p w14:paraId="19CAF1BF" w14:textId="169631CA" w:rsidR="00CB7997" w:rsidRPr="003F6065" w:rsidRDefault="00CB799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Administration, politique et OCRég/OCCne et autres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F6065">
              <w:rPr>
                <w:rFonts w:ascii="Arial" w:hAnsi="Arial" w:cs="Arial"/>
                <w:sz w:val="18"/>
                <w:lang w:val="fr-CH"/>
              </w:rPr>
              <w:t>organisations assurant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de base de la population</w:t>
            </w:r>
          </w:p>
        </w:tc>
        <w:tc>
          <w:tcPr>
            <w:tcW w:w="1326" w:type="dxa"/>
          </w:tcPr>
          <w:p w14:paraId="19A8DEF7" w14:textId="77777777" w:rsidR="00CB7997" w:rsidRPr="003F6065" w:rsidRDefault="00CB799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7E7E7481" w14:textId="22904241" w:rsidR="00CB7997" w:rsidRPr="003F6065" w:rsidRDefault="00CB799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le domaine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informatique et de la téléphonie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44883B4" w14:textId="77777777" w:rsidR="00CB7997" w:rsidRPr="003F6065" w:rsidRDefault="00CB7997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B53695B" w14:textId="77777777" w:rsidR="00CB7997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04E7C752" w14:textId="77777777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7DDC491" w14:textId="4AD65454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71CAC79D" w14:textId="77777777" w:rsidR="00CB7997" w:rsidRPr="003F6065" w:rsidRDefault="00433C85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0B58C32E" w14:textId="77777777" w:rsidR="005F5A50" w:rsidRPr="003F6065" w:rsidRDefault="005F5A5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74479F9" w14:textId="77777777" w:rsidR="005F5A50" w:rsidRPr="003F6065" w:rsidRDefault="005F5A5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Connexion Internet </w:t>
            </w:r>
            <w:proofErr w:type="spellStart"/>
            <w:r w:rsidRPr="003F6065">
              <w:rPr>
                <w:rFonts w:ascii="Arial" w:hAnsi="Arial" w:cs="Arial"/>
                <w:sz w:val="18"/>
                <w:lang w:val="fr-CH"/>
              </w:rPr>
              <w:t>Starlin</w:t>
            </w:r>
            <w:proofErr w:type="spellEnd"/>
            <w:r w:rsidRPr="003F6065">
              <w:rPr>
                <w:rFonts w:ascii="Arial" w:hAnsi="Arial" w:cs="Arial"/>
                <w:sz w:val="18"/>
                <w:lang w:val="fr-CH"/>
              </w:rPr>
              <w:t xml:space="preserve"> (aussi en relation avec le PRU)</w:t>
            </w:r>
          </w:p>
        </w:tc>
      </w:tr>
      <w:tr w:rsidR="00EC77A3" w:rsidRPr="003F6065" w14:paraId="78E9FAD2" w14:textId="77777777" w:rsidTr="00E47235">
        <w:tc>
          <w:tcPr>
            <w:tcW w:w="1526" w:type="dxa"/>
          </w:tcPr>
          <w:p w14:paraId="5D11D9D1" w14:textId="77777777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Transports</w:t>
            </w:r>
          </w:p>
        </w:tc>
        <w:tc>
          <w:tcPr>
            <w:tcW w:w="3402" w:type="dxa"/>
          </w:tcPr>
          <w:p w14:paraId="10DE04BD" w14:textId="77777777" w:rsidR="00EC77A3" w:rsidRPr="00E2627F" w:rsidRDefault="00EC77A3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Réseau routier</w:t>
            </w:r>
            <w:r w:rsidRPr="00E2627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</w:p>
          <w:p w14:paraId="30688A06" w14:textId="2CF4B53F" w:rsidR="00EC77A3" w:rsidRPr="003F6065" w:rsidRDefault="00EC77A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axes routiers sont à disposition de tous les usagers sans restriction (accessibilité à pied ou en véhicule, sécurité, flux du trafic, évacuation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eau, etc.).</w:t>
            </w:r>
          </w:p>
          <w:p w14:paraId="3583C6F8" w14:textId="38D82FC1" w:rsidR="00EC77A3" w:rsidRPr="003F6065" w:rsidRDefault="00EC77A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 service hivernal est assuré, le cas échéant en mettant la priorité sur les axes principaux.</w:t>
            </w:r>
          </w:p>
          <w:p w14:paraId="1B74FA2D" w14:textId="41C732D4" w:rsidR="00EC77A3" w:rsidRPr="003F6065" w:rsidRDefault="00EC77A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La résolution des dysfonctionnements importants 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effectue dans un délai utile.</w:t>
            </w:r>
          </w:p>
        </w:tc>
        <w:tc>
          <w:tcPr>
            <w:tcW w:w="2101" w:type="dxa"/>
          </w:tcPr>
          <w:p w14:paraId="71AE6144" w14:textId="1DF0822E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entretien des routes de la commune et inspection de la voirie du canton</w:t>
            </w:r>
          </w:p>
        </w:tc>
        <w:tc>
          <w:tcPr>
            <w:tcW w:w="2101" w:type="dxa"/>
          </w:tcPr>
          <w:p w14:paraId="49D67480" w14:textId="77777777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Public, accessible pour toutes et tous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26" w:type="dxa"/>
          </w:tcPr>
          <w:p w14:paraId="434023A6" w14:textId="77777777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0EA46648" w14:textId="09DB41C4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dans le domaine du réseau routier effectuées au</w:t>
            </w:r>
            <w:r w:rsidR="00E2627F">
              <w:rPr>
                <w:rFonts w:ascii="Arial" w:hAnsi="Arial" w:cs="Arial"/>
                <w:sz w:val="18"/>
                <w:lang w:val="fr-CH"/>
              </w:rPr>
              <w:t>x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niveau</w:t>
            </w:r>
            <w:r w:rsidR="00E2627F">
              <w:rPr>
                <w:rFonts w:ascii="Arial" w:hAnsi="Arial" w:cs="Arial"/>
                <w:sz w:val="18"/>
                <w:lang w:val="fr-CH"/>
              </w:rPr>
              <w:t>x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communal et régional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3F49CDD" w14:textId="77777777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A32B9C7" w14:textId="3DBEC5CE" w:rsidR="00EC77A3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5AB74E05" w14:textId="4538FC05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6291C5E" w14:textId="332CDB5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5AE75EBD" w14:textId="792A5318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7C2C923" w14:textId="36AB22A6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370DEBEC" w14:textId="77777777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36" w:type="dxa"/>
          </w:tcPr>
          <w:p w14:paraId="2C209467" w14:textId="77777777" w:rsidR="00EC77A3" w:rsidRPr="003F6065" w:rsidRDefault="00EC77A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D4722" w:rsidRPr="003F6065" w14:paraId="14BA9D74" w14:textId="77777777" w:rsidTr="00E47235">
        <w:tc>
          <w:tcPr>
            <w:tcW w:w="1526" w:type="dxa"/>
          </w:tcPr>
          <w:p w14:paraId="58A6FF70" w14:textId="77777777" w:rsidR="00BD4722" w:rsidRPr="003F6065" w:rsidRDefault="00BD472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Transports</w:t>
            </w:r>
          </w:p>
          <w:p w14:paraId="0110D966" w14:textId="6B19D255" w:rsidR="00F2091B" w:rsidRPr="003F6065" w:rsidRDefault="00F2091B" w:rsidP="00F2091B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</w:tcPr>
          <w:p w14:paraId="7E70DFEA" w14:textId="77777777" w:rsidR="00BD4722" w:rsidRPr="00E2627F" w:rsidRDefault="00BD4722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Transports publics</w:t>
            </w:r>
          </w:p>
          <w:p w14:paraId="4B4B0740" w14:textId="6C442E12" w:rsidR="00BD4722" w:rsidRPr="003F6065" w:rsidRDefault="00BD4722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transports publics (bus, tram, train, prestataires régionaux, etc.) circulent selon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horaire.</w:t>
            </w:r>
          </w:p>
          <w:p w14:paraId="1861EF34" w14:textId="77777777" w:rsidR="00BD4722" w:rsidRPr="003F6065" w:rsidRDefault="00BD472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101" w:type="dxa"/>
          </w:tcPr>
          <w:p w14:paraId="00226647" w14:textId="77777777" w:rsidR="00BD472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CFF</w:t>
            </w:r>
          </w:p>
          <w:p w14:paraId="42BA50BD" w14:textId="77777777" w:rsidR="00012F3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BLS</w:t>
            </w:r>
          </w:p>
          <w:p w14:paraId="00B83D2E" w14:textId="77777777" w:rsidR="00012F3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spellStart"/>
            <w:r w:rsidRPr="003F6065">
              <w:rPr>
                <w:rFonts w:ascii="Arial" w:hAnsi="Arial" w:cs="Arial"/>
                <w:sz w:val="18"/>
                <w:lang w:val="fr-CH"/>
              </w:rPr>
              <w:t>Busland</w:t>
            </w:r>
            <w:proofErr w:type="spellEnd"/>
          </w:p>
          <w:p w14:paraId="370FB965" w14:textId="77777777" w:rsidR="00012F3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Car Postal</w:t>
            </w:r>
          </w:p>
          <w:p w14:paraId="7908B265" w14:textId="01E4418D" w:rsidR="00012F3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Prestataires régionaux</w:t>
            </w:r>
          </w:p>
        </w:tc>
        <w:tc>
          <w:tcPr>
            <w:tcW w:w="2101" w:type="dxa"/>
          </w:tcPr>
          <w:p w14:paraId="5DB0B8D0" w14:textId="77777777" w:rsidR="00BD472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Passagères et passagers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326" w:type="dxa"/>
          </w:tcPr>
          <w:p w14:paraId="5FAEE199" w14:textId="77777777" w:rsidR="00BD4722" w:rsidRPr="003F6065" w:rsidRDefault="00BD472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531182D9" w14:textId="77777777" w:rsidR="00BD4722" w:rsidRPr="003F6065" w:rsidRDefault="00012F3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Liste de contrôle et planifications des prestataires</w:t>
            </w:r>
          </w:p>
          <w:p w14:paraId="61D5979F" w14:textId="77777777" w:rsidR="00BD4722" w:rsidRPr="003F6065" w:rsidRDefault="00BD4722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36" w:type="dxa"/>
          </w:tcPr>
          <w:p w14:paraId="5A2691F7" w14:textId="472F950B" w:rsidR="00BD4722" w:rsidRPr="003F6065" w:rsidRDefault="0000000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3" w:history="1">
              <w:r w:rsidR="003846E0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>Perturbations du trafic ferroviaire</w:t>
              </w:r>
            </w:hyperlink>
          </w:p>
        </w:tc>
      </w:tr>
      <w:tr w:rsidR="00EE3C80" w:rsidRPr="003F6065" w14:paraId="13580B65" w14:textId="77777777" w:rsidTr="00E47235">
        <w:tc>
          <w:tcPr>
            <w:tcW w:w="1526" w:type="dxa"/>
          </w:tcPr>
          <w:p w14:paraId="5637341F" w14:textId="77777777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Sécurité publique</w:t>
            </w:r>
          </w:p>
        </w:tc>
        <w:tc>
          <w:tcPr>
            <w:tcW w:w="3402" w:type="dxa"/>
          </w:tcPr>
          <w:p w14:paraId="1ED75FF5" w14:textId="77777777" w:rsidR="00EE3C80" w:rsidRPr="00E2627F" w:rsidRDefault="00EE3C80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Sapeurs-pompiers</w:t>
            </w:r>
          </w:p>
          <w:p w14:paraId="22759882" w14:textId="3FC73042" w:rsidR="00D9203A" w:rsidRPr="003F6065" w:rsidRDefault="00EE3C80" w:rsidP="00D9203A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 mandat légal de base (sauver, tenir, protéger, éteindre) est rempli dans 80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% des cas dans le délai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prescrit (10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/15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).</w:t>
            </w:r>
          </w:p>
          <w:p w14:paraId="11B75298" w14:textId="434BE85E" w:rsidR="00EE3C80" w:rsidRPr="003F6065" w:rsidRDefault="00EE3C80" w:rsidP="00D9203A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entrée en service est assurée même en cas de panne des moyens de communication ordinaires.</w:t>
            </w:r>
          </w:p>
        </w:tc>
        <w:tc>
          <w:tcPr>
            <w:tcW w:w="2101" w:type="dxa"/>
          </w:tcPr>
          <w:p w14:paraId="40E85794" w14:textId="77777777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des sapeurs-pompiers</w:t>
            </w:r>
          </w:p>
        </w:tc>
        <w:tc>
          <w:tcPr>
            <w:tcW w:w="2101" w:type="dxa"/>
          </w:tcPr>
          <w:p w14:paraId="2C7491BF" w14:textId="6AFAE63A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dans la zone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</w:t>
            </w:r>
          </w:p>
        </w:tc>
        <w:tc>
          <w:tcPr>
            <w:tcW w:w="1326" w:type="dxa"/>
          </w:tcPr>
          <w:p w14:paraId="0F082315" w14:textId="77777777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4636962C" w14:textId="511AFE52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le domaine des sapeurs-pompiers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372C0302" w14:textId="77777777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80A8C12" w14:textId="77777777" w:rsidR="00EE3C80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7D7A93E8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7990391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4F906BD6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B39848D" w14:textId="7285DECF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189EF6A2" w14:textId="34157C0B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374485BA" w14:textId="5ACAEEF2" w:rsidR="00A22219" w:rsidRPr="003F6065" w:rsidRDefault="00A2221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7791552" w14:textId="11C037EC" w:rsidR="00A22219" w:rsidRPr="003F6065" w:rsidRDefault="00000000" w:rsidP="00A2221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hyperlink r:id="rId14" w:history="1">
              <w:proofErr w:type="spellStart"/>
              <w:r w:rsidR="003846E0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>myfeuerwehr</w:t>
              </w:r>
              <w:proofErr w:type="spellEnd"/>
              <w:r w:rsidR="003846E0" w:rsidRPr="003F6065">
                <w:rPr>
                  <w:rStyle w:val="Lienhypertexte"/>
                  <w:rFonts w:ascii="Arial" w:hAnsi="Arial" w:cs="Arial"/>
                  <w:sz w:val="18"/>
                  <w:lang w:val="fr-CH"/>
                </w:rPr>
                <w:t xml:space="preserve"> Canton de Berne</w:t>
              </w:r>
            </w:hyperlink>
          </w:p>
          <w:p w14:paraId="363DAF41" w14:textId="77777777" w:rsidR="00A22219" w:rsidRPr="003F6065" w:rsidRDefault="00A2221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5685D6D" w14:textId="77777777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FD4D765" w14:textId="77777777" w:rsidR="00EE3C80" w:rsidRPr="003F6065" w:rsidRDefault="00EE3C80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720859" w:rsidRPr="003F6065" w14:paraId="113598D3" w14:textId="77777777" w:rsidTr="00E47235">
        <w:tc>
          <w:tcPr>
            <w:tcW w:w="1526" w:type="dxa"/>
          </w:tcPr>
          <w:p w14:paraId="33B9E308" w14:textId="7777777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Sécurité publique</w:t>
            </w:r>
          </w:p>
        </w:tc>
        <w:tc>
          <w:tcPr>
            <w:tcW w:w="3402" w:type="dxa"/>
          </w:tcPr>
          <w:p w14:paraId="7D476C5D" w14:textId="77777777" w:rsidR="00720859" w:rsidRPr="00E2627F" w:rsidRDefault="00720859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Protection civile</w:t>
            </w:r>
          </w:p>
          <w:p w14:paraId="38153069" w14:textId="7EF71301" w:rsidR="00720859" w:rsidRPr="003F6065" w:rsidRDefault="0072085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Prestations selon les bases légales fédérales et cantonales et le profil de prestations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organisation PC</w:t>
            </w:r>
          </w:p>
          <w:p w14:paraId="2CF106CF" w14:textId="4F55F03F" w:rsidR="00720859" w:rsidRPr="003F6065" w:rsidRDefault="0072085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Soutien à la mise en place et à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exploitation du poste de commandement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OCRég/OCCne, et le cas échéant du PRU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01" w:type="dxa"/>
          </w:tcPr>
          <w:p w14:paraId="359F0F49" w14:textId="7777777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la protection civile</w:t>
            </w:r>
          </w:p>
        </w:tc>
        <w:tc>
          <w:tcPr>
            <w:tcW w:w="2101" w:type="dxa"/>
          </w:tcPr>
          <w:p w14:paraId="321A466D" w14:textId="0D1AEC6D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Toutes et tous, dans la zone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</w:t>
            </w:r>
          </w:p>
        </w:tc>
        <w:tc>
          <w:tcPr>
            <w:tcW w:w="1326" w:type="dxa"/>
          </w:tcPr>
          <w:p w14:paraId="350C9472" w14:textId="7777777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3EA7B2E1" w14:textId="129ADFB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le domaine de la protection civile</w:t>
            </w:r>
            <w:r w:rsidR="00E2627F">
              <w:rPr>
                <w:rFonts w:ascii="Arial" w:hAnsi="Arial" w:cs="Arial"/>
                <w:sz w:val="18"/>
                <w:lang w:val="fr-CH"/>
              </w:rPr>
              <w:t> 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428636EF" w14:textId="7777777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D93F2DB" w14:textId="37BDF1F3" w:rsidR="00720859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3FD898EB" w14:textId="7777777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36F55A5" w14:textId="77777777" w:rsidR="00720859" w:rsidRPr="003F6065" w:rsidRDefault="0072085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7361A8" w:rsidRPr="003F6065" w14:paraId="5CCEEEED" w14:textId="77777777" w:rsidTr="00E47235">
        <w:tc>
          <w:tcPr>
            <w:tcW w:w="1526" w:type="dxa"/>
          </w:tcPr>
          <w:p w14:paraId="5034901F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Sécurité publique</w:t>
            </w:r>
          </w:p>
        </w:tc>
        <w:tc>
          <w:tcPr>
            <w:tcW w:w="3402" w:type="dxa"/>
          </w:tcPr>
          <w:p w14:paraId="0B89DB51" w14:textId="77777777" w:rsidR="007361A8" w:rsidRPr="00E2627F" w:rsidRDefault="007361A8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Tâches de police communale</w:t>
            </w:r>
          </w:p>
          <w:p w14:paraId="42AF750A" w14:textId="32FA67EA" w:rsidR="007361A8" w:rsidRPr="003F6065" w:rsidRDefault="007361A8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Prestations fournies par la Police cantonale selon le contrat de ressources (si existant) </w:t>
            </w:r>
          </w:p>
          <w:p w14:paraId="6029C677" w14:textId="05DAB2D7" w:rsidR="007361A8" w:rsidRPr="003F6065" w:rsidRDefault="007361A8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le calme et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ordre</w:t>
            </w:r>
          </w:p>
          <w:p w14:paraId="3DAFA829" w14:textId="02539CD9" w:rsidR="007361A8" w:rsidRPr="003F6065" w:rsidRDefault="007361A8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exploitation des infrastructures (stationnement public, sécurité routière, etc.)</w:t>
            </w:r>
          </w:p>
        </w:tc>
        <w:tc>
          <w:tcPr>
            <w:tcW w:w="2101" w:type="dxa"/>
          </w:tcPr>
          <w:p w14:paraId="16D2FA13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la police communale / sécurité publique</w:t>
            </w:r>
          </w:p>
        </w:tc>
        <w:tc>
          <w:tcPr>
            <w:tcW w:w="2101" w:type="dxa"/>
          </w:tcPr>
          <w:p w14:paraId="36D061D3" w14:textId="50E70740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Toutes et </w:t>
            </w:r>
            <w:r w:rsidR="00E2627F">
              <w:rPr>
                <w:rFonts w:ascii="Arial" w:hAnsi="Arial" w:cs="Arial"/>
                <w:sz w:val="18"/>
                <w:lang w:val="fr-CH"/>
              </w:rPr>
              <w:t>tous</w:t>
            </w:r>
            <w:r w:rsidRPr="003F6065">
              <w:rPr>
                <w:rFonts w:ascii="Arial" w:hAnsi="Arial" w:cs="Arial"/>
                <w:sz w:val="18"/>
                <w:lang w:val="fr-CH"/>
              </w:rPr>
              <w:t>, dans la zone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</w:t>
            </w:r>
          </w:p>
        </w:tc>
        <w:tc>
          <w:tcPr>
            <w:tcW w:w="1326" w:type="dxa"/>
          </w:tcPr>
          <w:p w14:paraId="7345BAF5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55224B01" w14:textId="4F5D928F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le domaine des tâches de police communale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1FA444E6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BF3F5BB" w14:textId="2C3FE7CA" w:rsidR="007361A8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59270064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36" w:type="dxa"/>
          </w:tcPr>
          <w:p w14:paraId="4846E71A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31CA410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7361A8" w:rsidRPr="003F6065" w14:paraId="5CCFB1CA" w14:textId="77777777" w:rsidTr="00E47235">
        <w:tc>
          <w:tcPr>
            <w:tcW w:w="1526" w:type="dxa"/>
          </w:tcPr>
          <w:p w14:paraId="16CBDC4F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Santé</w:t>
            </w:r>
          </w:p>
        </w:tc>
        <w:tc>
          <w:tcPr>
            <w:tcW w:w="3402" w:type="dxa"/>
          </w:tcPr>
          <w:p w14:paraId="25CF84CA" w14:textId="77777777" w:rsidR="007361A8" w:rsidRPr="00E2627F" w:rsidRDefault="007361A8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Inhumations</w:t>
            </w:r>
          </w:p>
          <w:p w14:paraId="2525F4CE" w14:textId="7E697409" w:rsidR="007361A8" w:rsidRPr="003F6065" w:rsidRDefault="007361A8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le recensement des décès et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organisation des inhumations</w:t>
            </w:r>
          </w:p>
          <w:p w14:paraId="3C2D37E3" w14:textId="2DD60E76" w:rsidR="007361A8" w:rsidRPr="003F6065" w:rsidRDefault="006C682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les inhumations dans les délais légaux ou prescrits</w:t>
            </w:r>
          </w:p>
          <w:p w14:paraId="17E3F165" w14:textId="37C79F08" w:rsidR="007361A8" w:rsidRPr="003F6065" w:rsidRDefault="006C6829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exploitation du crématoire</w:t>
            </w:r>
          </w:p>
        </w:tc>
        <w:tc>
          <w:tcPr>
            <w:tcW w:w="2101" w:type="dxa"/>
          </w:tcPr>
          <w:p w14:paraId="1EB05F6C" w14:textId="15B22E59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la santé</w:t>
            </w:r>
            <w:r w:rsidR="00E2627F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/</w:t>
            </w:r>
            <w:r w:rsidR="00E2627F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des inhumations</w:t>
            </w:r>
          </w:p>
        </w:tc>
        <w:tc>
          <w:tcPr>
            <w:tcW w:w="2101" w:type="dxa"/>
          </w:tcPr>
          <w:p w14:paraId="6F4980C2" w14:textId="77777777" w:rsidR="007361A8" w:rsidRPr="003F6065" w:rsidRDefault="006C68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Citoyennes et citoyens</w:t>
            </w:r>
          </w:p>
          <w:p w14:paraId="71DD7A1A" w14:textId="77777777" w:rsidR="006C6829" w:rsidRPr="003F6065" w:rsidRDefault="006C68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8A21960" w14:textId="77777777" w:rsidR="006C6829" w:rsidRPr="003F6065" w:rsidRDefault="006C68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Églises nationales et autres organisations religieuses</w:t>
            </w:r>
          </w:p>
        </w:tc>
        <w:tc>
          <w:tcPr>
            <w:tcW w:w="1326" w:type="dxa"/>
          </w:tcPr>
          <w:p w14:paraId="5DB4614C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6C059040" w14:textId="63CBBD20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le domaine des inhumations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2C7BD9D1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8EFCD62" w14:textId="77777777" w:rsidR="007361A8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397D7899" w14:textId="77777777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A7D82B9" w14:textId="1D8857DB" w:rsidR="007A7831" w:rsidRPr="003F6065" w:rsidRDefault="007A7831" w:rsidP="007A783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4C0CC5DA" w14:textId="77777777" w:rsidR="007361A8" w:rsidRPr="003F6065" w:rsidRDefault="006C6829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210F2373" w14:textId="77777777" w:rsidR="007361A8" w:rsidRPr="003F6065" w:rsidRDefault="007361A8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BB500E" w:rsidRPr="003F6065" w14:paraId="6CDCADBF" w14:textId="77777777" w:rsidTr="00E47235">
        <w:tc>
          <w:tcPr>
            <w:tcW w:w="1526" w:type="dxa"/>
          </w:tcPr>
          <w:p w14:paraId="26E4895F" w14:textId="77777777" w:rsidR="00BB500E" w:rsidRPr="003F6065" w:rsidRDefault="006772E8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Autorités et administration</w:t>
            </w:r>
          </w:p>
        </w:tc>
        <w:tc>
          <w:tcPr>
            <w:tcW w:w="3402" w:type="dxa"/>
          </w:tcPr>
          <w:p w14:paraId="2876C613" w14:textId="77777777" w:rsidR="008965E3" w:rsidRPr="00E2627F" w:rsidRDefault="008965E3" w:rsidP="008965E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Conduite</w:t>
            </w:r>
          </w:p>
          <w:p w14:paraId="6F998218" w14:textId="36942B77" w:rsidR="008965E3" w:rsidRPr="003F6065" w:rsidRDefault="008965E3" w:rsidP="008965E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une capacité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durable et 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activité de conduite politique </w:t>
            </w:r>
          </w:p>
          <w:p w14:paraId="6F20BF96" w14:textId="622BEFFE" w:rsidR="008965E3" w:rsidRPr="003F6065" w:rsidRDefault="008965E3" w:rsidP="008965E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une capacité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durable et 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activité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OCRég/OCCne</w:t>
            </w:r>
          </w:p>
          <w:p w14:paraId="29728C54" w14:textId="0D457FF5" w:rsidR="00CB7997" w:rsidRPr="003F6065" w:rsidRDefault="008965E3" w:rsidP="008965E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une capacité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durable et 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activité 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des </w:t>
            </w:r>
            <w:r w:rsidRPr="003F6065">
              <w:rPr>
                <w:rFonts w:ascii="Arial" w:hAnsi="Arial" w:cs="Arial"/>
                <w:sz w:val="18"/>
                <w:lang w:val="fr-CH"/>
              </w:rPr>
              <w:t>services administratifs</w:t>
            </w:r>
          </w:p>
        </w:tc>
        <w:tc>
          <w:tcPr>
            <w:tcW w:w="2101" w:type="dxa"/>
          </w:tcPr>
          <w:p w14:paraId="2A7E2FA9" w14:textId="77777777" w:rsidR="00BB500E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la Mairie</w:t>
            </w:r>
          </w:p>
          <w:p w14:paraId="45F72243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8670BAA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4376016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la sécurité publique</w:t>
            </w:r>
          </w:p>
          <w:p w14:paraId="7B6DF20C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3EBB031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Tous les services administratifs</w:t>
            </w:r>
          </w:p>
        </w:tc>
        <w:tc>
          <w:tcPr>
            <w:tcW w:w="2101" w:type="dxa"/>
          </w:tcPr>
          <w:p w14:paraId="43D32F21" w14:textId="77777777" w:rsidR="00BB500E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Conseil communal (exécutif)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17C3CAF9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Conseil de ville (législatif)</w:t>
            </w:r>
          </w:p>
          <w:p w14:paraId="4D4E7EF5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Commissions</w:t>
            </w:r>
          </w:p>
          <w:p w14:paraId="5769684D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Citoyennes et citoyens</w:t>
            </w:r>
          </w:p>
          <w:p w14:paraId="01D33003" w14:textId="5CD14049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Organisations partenaires</w:t>
            </w:r>
          </w:p>
          <w:p w14:paraId="1DE594FF" w14:textId="0BFF4C51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OCRég/OCCne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0B91AD12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EA93905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CFD5878" w14:textId="77777777" w:rsidR="00F05F11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326" w:type="dxa"/>
          </w:tcPr>
          <w:p w14:paraId="4E37E3E9" w14:textId="77777777" w:rsidR="00BB500E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512F4646" w14:textId="5B48F194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1DA7C319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A506B96" w14:textId="77777777" w:rsidR="00BB500E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42F750A3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D21621D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41A6A16A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005373E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06C5CFB2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3B8932D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7451E758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7F45D7D" w14:textId="05250BAA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04B36239" w14:textId="77777777" w:rsidR="00BB500E" w:rsidRPr="003F6065" w:rsidRDefault="00F05F11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70CBE811" w14:textId="77777777" w:rsidR="00A766B8" w:rsidRPr="003F6065" w:rsidRDefault="00A766B8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992B954" w14:textId="6DA4517E" w:rsidR="00A766B8" w:rsidRPr="003F6065" w:rsidRDefault="00A766B8" w:rsidP="00BB500E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Mise en place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un poste de commandement /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une salle de rapport pouvant être utilisé/e 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– </w:t>
            </w:r>
            <w:r w:rsidRPr="003F6065">
              <w:rPr>
                <w:rFonts w:ascii="Arial" w:hAnsi="Arial" w:cs="Arial"/>
                <w:sz w:val="18"/>
                <w:lang w:val="fr-CH"/>
              </w:rPr>
              <w:t>en fonction de la situation</w:t>
            </w:r>
            <w:r w:rsidR="00E2627F">
              <w:rPr>
                <w:rFonts w:ascii="Arial" w:hAnsi="Arial" w:cs="Arial"/>
                <w:sz w:val="18"/>
                <w:lang w:val="fr-CH"/>
              </w:rPr>
              <w:t xml:space="preserve"> –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aussi par les différents organes et organis</w:t>
            </w:r>
            <w:r w:rsidR="00E2627F">
              <w:rPr>
                <w:rFonts w:ascii="Arial" w:hAnsi="Arial" w:cs="Arial"/>
                <w:sz w:val="18"/>
                <w:lang w:val="fr-CH"/>
              </w:rPr>
              <w:t>mes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en alternance</w:t>
            </w:r>
          </w:p>
        </w:tc>
      </w:tr>
      <w:tr w:rsidR="008965E3" w:rsidRPr="003F6065" w14:paraId="288E7C13" w14:textId="77777777" w:rsidTr="00E47235">
        <w:tc>
          <w:tcPr>
            <w:tcW w:w="1526" w:type="dxa"/>
          </w:tcPr>
          <w:p w14:paraId="6EA1EFC9" w14:textId="77777777" w:rsidR="008965E3" w:rsidRPr="003F6065" w:rsidRDefault="008965E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Autorités et administration</w:t>
            </w:r>
          </w:p>
        </w:tc>
        <w:tc>
          <w:tcPr>
            <w:tcW w:w="3402" w:type="dxa"/>
          </w:tcPr>
          <w:p w14:paraId="5578DD18" w14:textId="77777777" w:rsidR="008965E3" w:rsidRPr="00E2627F" w:rsidRDefault="008965E3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E2627F">
              <w:rPr>
                <w:rFonts w:ascii="Arial" w:hAnsi="Arial" w:cs="Arial"/>
                <w:b/>
                <w:bCs/>
                <w:sz w:val="18"/>
                <w:lang w:val="fr-CH"/>
              </w:rPr>
              <w:t>Services des habitants</w:t>
            </w:r>
          </w:p>
          <w:p w14:paraId="18C6C1DB" w14:textId="4DD34AC3" w:rsidR="008965E3" w:rsidRPr="003F6065" w:rsidRDefault="008965E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une capacité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durable et assurer les activités</w:t>
            </w:r>
          </w:p>
          <w:p w14:paraId="75FBB98D" w14:textId="3375A604" w:rsidR="00596E1E" w:rsidRPr="003F6065" w:rsidRDefault="008965E3" w:rsidP="008965E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les annonces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arrivées et de départs, les mutations en cas de naissances et de décès, etc., afin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assurer le contrôle </w:t>
            </w:r>
            <w:r w:rsidR="00C74FCE">
              <w:rPr>
                <w:rFonts w:ascii="Arial" w:hAnsi="Arial" w:cs="Arial"/>
                <w:sz w:val="18"/>
                <w:lang w:val="fr-CH"/>
              </w:rPr>
              <w:t>d</w:t>
            </w:r>
            <w:r w:rsidRPr="003F6065">
              <w:rPr>
                <w:rFonts w:ascii="Arial" w:hAnsi="Arial" w:cs="Arial"/>
                <w:sz w:val="18"/>
                <w:lang w:val="fr-CH"/>
              </w:rPr>
              <w:t>es citoyennes et citoyens présents sur le territoire.</w:t>
            </w:r>
          </w:p>
          <w:p w14:paraId="747DEE6C" w14:textId="473A7073" w:rsidR="0078648A" w:rsidRPr="003F6065" w:rsidRDefault="008965E3" w:rsidP="00CE37F3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le flux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informations en tant que source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information importante pour tous les autres services et organismes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01" w:type="dxa"/>
          </w:tcPr>
          <w:p w14:paraId="1E30A271" w14:textId="77777777" w:rsidR="008965E3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des services des habitants</w:t>
            </w:r>
          </w:p>
          <w:p w14:paraId="4AD4909B" w14:textId="77777777" w:rsidR="00F05F11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101" w:type="dxa"/>
          </w:tcPr>
          <w:p w14:paraId="57BC760E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Conseil municipal (exécutif)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7409D891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Conseil de ville (législatif)</w:t>
            </w:r>
          </w:p>
          <w:p w14:paraId="38C61894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Commissions</w:t>
            </w:r>
          </w:p>
          <w:p w14:paraId="22A9C0CE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Citoyennes et citoyens</w:t>
            </w:r>
          </w:p>
          <w:p w14:paraId="65566CE9" w14:textId="3B25601C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Organisations partenaires</w:t>
            </w:r>
          </w:p>
          <w:p w14:paraId="3F9D0AD3" w14:textId="4EDE5BB0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OCRég/OCCne</w:t>
            </w:r>
          </w:p>
          <w:p w14:paraId="06B514E0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Canton</w:t>
            </w:r>
          </w:p>
          <w:p w14:paraId="6BEE8F24" w14:textId="436EC6FD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Confédération</w:t>
            </w:r>
          </w:p>
          <w:p w14:paraId="657E48A1" w14:textId="77777777" w:rsidR="008965E3" w:rsidRPr="003F6065" w:rsidRDefault="008965E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326" w:type="dxa"/>
          </w:tcPr>
          <w:p w14:paraId="38B53D74" w14:textId="77777777" w:rsidR="008965E3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1C035360" w14:textId="7F1CAFD9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46A2413F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2AF8A55" w14:textId="77777777" w:rsidR="008965E3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4BCBECBD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95DC7EF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7540250E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7C4F843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13E18F0F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9ADF0A4" w14:textId="4F39F9B5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00F5ACDB" w14:textId="77777777" w:rsidR="008965E3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  <w:p w14:paraId="6BF508E6" w14:textId="77777777" w:rsidR="00F05F11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2635A5D" w14:textId="775B1F73" w:rsidR="00F05F11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Suppression dès que le PRU est en fonction </w:t>
            </w:r>
            <w:r w:rsidR="00C74FCE">
              <w:rPr>
                <w:rFonts w:ascii="Arial" w:hAnsi="Arial" w:cs="Arial"/>
                <w:sz w:val="18"/>
                <w:lang w:val="fr-CH"/>
              </w:rPr>
              <w:t>/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transfert de la tâche centrale des services des habitants au PRU</w:t>
            </w:r>
          </w:p>
        </w:tc>
      </w:tr>
      <w:tr w:rsidR="00C36FA6" w:rsidRPr="003F6065" w14:paraId="64BD1E39" w14:textId="77777777" w:rsidTr="00E47235">
        <w:tc>
          <w:tcPr>
            <w:tcW w:w="1526" w:type="dxa"/>
          </w:tcPr>
          <w:p w14:paraId="7D3ABA04" w14:textId="77777777" w:rsidR="00C36F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Sécurité sociale et prise en charge</w:t>
            </w:r>
          </w:p>
        </w:tc>
        <w:tc>
          <w:tcPr>
            <w:tcW w:w="3402" w:type="dxa"/>
          </w:tcPr>
          <w:p w14:paraId="50FF38D8" w14:textId="77777777" w:rsidR="00C36FA6" w:rsidRPr="00C74FCE" w:rsidRDefault="00C36FA6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C74FCE">
              <w:rPr>
                <w:rFonts w:ascii="Arial" w:hAnsi="Arial" w:cs="Arial"/>
                <w:b/>
                <w:bCs/>
                <w:sz w:val="18"/>
                <w:lang w:val="fr-CH"/>
              </w:rPr>
              <w:t>Services sociaux</w:t>
            </w:r>
          </w:p>
          <w:p w14:paraId="6A348704" w14:textId="10573254" w:rsidR="00C36FA6" w:rsidRPr="003F6065" w:rsidRDefault="00C36FA6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une capacité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durable et assurer les activités</w:t>
            </w:r>
          </w:p>
          <w:p w14:paraId="7C2C8867" w14:textId="1EDD7273" w:rsidR="00F05F11" w:rsidRPr="003F6065" w:rsidRDefault="00C36FA6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la prise en charge et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approvisionnement (couverture des besoins vitaux) de la clientèle dans les domaines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aide sociale et de la protection de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 l’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adulte et de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 l’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enfant (trafic de paiements, au besoin remise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argent liquide)</w:t>
            </w:r>
          </w:p>
          <w:p w14:paraId="0617EC14" w14:textId="127CDE0F" w:rsidR="00C36FA6" w:rsidRPr="003F6065" w:rsidRDefault="002052A6" w:rsidP="0078648A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les offres des partenaires liés par une convention de prestations dans le domaine du logis/de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hébergement</w:t>
            </w:r>
          </w:p>
        </w:tc>
        <w:tc>
          <w:tcPr>
            <w:tcW w:w="2101" w:type="dxa"/>
          </w:tcPr>
          <w:p w14:paraId="5EC8764F" w14:textId="036F65BE" w:rsidR="00C36FA6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Secteur spécialisé </w:t>
            </w:r>
            <w:r w:rsidR="0065398B">
              <w:rPr>
                <w:rFonts w:ascii="Arial" w:hAnsi="Arial" w:cs="Arial"/>
                <w:sz w:val="18"/>
                <w:lang w:val="fr-CH"/>
              </w:rPr>
              <w:t>des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affaires </w:t>
            </w:r>
            <w:r w:rsidRPr="003F6065">
              <w:rPr>
                <w:rFonts w:ascii="Arial" w:hAnsi="Arial" w:cs="Arial"/>
                <w:sz w:val="18"/>
                <w:lang w:val="fr-CH"/>
              </w:rPr>
              <w:t>social</w:t>
            </w:r>
            <w:r w:rsidR="0065398B">
              <w:rPr>
                <w:rFonts w:ascii="Arial" w:hAnsi="Arial" w:cs="Arial"/>
                <w:sz w:val="18"/>
                <w:lang w:val="fr-CH"/>
              </w:rPr>
              <w:t>es</w:t>
            </w:r>
          </w:p>
        </w:tc>
        <w:tc>
          <w:tcPr>
            <w:tcW w:w="2101" w:type="dxa"/>
          </w:tcPr>
          <w:p w14:paraId="4B6F93A2" w14:textId="08A39837" w:rsidR="00F05F11" w:rsidRPr="003F6065" w:rsidRDefault="00B503D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Clientèle</w:t>
            </w:r>
          </w:p>
        </w:tc>
        <w:tc>
          <w:tcPr>
            <w:tcW w:w="1326" w:type="dxa"/>
          </w:tcPr>
          <w:p w14:paraId="127F8D03" w14:textId="77777777" w:rsidR="00C36FA6" w:rsidRPr="003F6065" w:rsidRDefault="00F05F1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425179CA" w14:textId="475E8AFB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4ABA2215" w14:textId="77777777" w:rsidR="00F05F11" w:rsidRPr="003F6065" w:rsidRDefault="00F05F1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85E0696" w14:textId="77777777" w:rsidR="00C36FA6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1EC6E4AD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1A419E0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6773C077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F73B258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0C34D292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F52BC5F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75D517F5" w14:textId="7777777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1BA6874" w14:textId="0B04FFC7" w:rsidR="007A7831" w:rsidRPr="003F6065" w:rsidRDefault="007A7831" w:rsidP="00F05F1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47460866" w14:textId="77777777" w:rsidR="00C36FA6" w:rsidRPr="003F6065" w:rsidRDefault="00C36F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2052A6" w:rsidRPr="003F6065" w14:paraId="71019D2F" w14:textId="77777777" w:rsidTr="00E47235">
        <w:tc>
          <w:tcPr>
            <w:tcW w:w="1526" w:type="dxa"/>
          </w:tcPr>
          <w:p w14:paraId="102A8725" w14:textId="77777777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Sécurité sociale et prise en charge</w:t>
            </w:r>
          </w:p>
        </w:tc>
        <w:tc>
          <w:tcPr>
            <w:tcW w:w="3402" w:type="dxa"/>
          </w:tcPr>
          <w:p w14:paraId="4A8F560E" w14:textId="77777777" w:rsidR="002052A6" w:rsidRPr="0065398B" w:rsidRDefault="002052A6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Agence AVS</w:t>
            </w:r>
          </w:p>
          <w:p w14:paraId="77E53917" w14:textId="00128FE6" w:rsidR="002052A6" w:rsidRPr="003F6065" w:rsidRDefault="002052A6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une capacité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durable et assurer les activités</w:t>
            </w:r>
          </w:p>
          <w:p w14:paraId="43B5061D" w14:textId="14F3ED79" w:rsidR="002052A6" w:rsidRPr="003F6065" w:rsidRDefault="002052A6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Traiter les dossiers AVS, PC, allocations familiales et annonces APG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01" w:type="dxa"/>
          </w:tcPr>
          <w:p w14:paraId="12B85E34" w14:textId="6FB7BF11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agence AVS</w:t>
            </w:r>
          </w:p>
        </w:tc>
        <w:tc>
          <w:tcPr>
            <w:tcW w:w="2101" w:type="dxa"/>
          </w:tcPr>
          <w:p w14:paraId="4602B84C" w14:textId="77777777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Personnes retraitées</w:t>
            </w:r>
          </w:p>
          <w:p w14:paraId="7165196B" w14:textId="77777777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Bénéficiaires de prestations complémentaires</w:t>
            </w:r>
          </w:p>
          <w:p w14:paraId="4E8D0798" w14:textId="1D921C45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Bénéficiaires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allocations familiales</w:t>
            </w:r>
          </w:p>
          <w:p w14:paraId="13693773" w14:textId="57E1C9DB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Bénéficiaires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allocations pour pertes de gain</w:t>
            </w:r>
          </w:p>
        </w:tc>
        <w:tc>
          <w:tcPr>
            <w:tcW w:w="1326" w:type="dxa"/>
          </w:tcPr>
          <w:p w14:paraId="4680F977" w14:textId="77777777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5CEF1708" w14:textId="449C7330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B536EB6" w14:textId="77777777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5705E01" w14:textId="77777777" w:rsidR="002052A6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79EEC4BD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ACB3008" w14:textId="57FE8CC8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4FFE7CAB" w14:textId="77777777" w:rsidR="002052A6" w:rsidRPr="003F6065" w:rsidRDefault="002052A6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051AC" w:rsidRPr="003F6065" w14:paraId="1E8EF2E0" w14:textId="77777777" w:rsidTr="00E47235">
        <w:tc>
          <w:tcPr>
            <w:tcW w:w="1526" w:type="dxa"/>
          </w:tcPr>
          <w:p w14:paraId="65F817F2" w14:textId="77777777" w:rsidR="000051AC" w:rsidRPr="003F6065" w:rsidRDefault="000051A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Sécurité sociale et prise en charge</w:t>
            </w:r>
          </w:p>
        </w:tc>
        <w:tc>
          <w:tcPr>
            <w:tcW w:w="3402" w:type="dxa"/>
          </w:tcPr>
          <w:p w14:paraId="79BB9320" w14:textId="77777777" w:rsidR="000051AC" w:rsidRPr="0065398B" w:rsidRDefault="000051AC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Crèches (communales)</w:t>
            </w:r>
          </w:p>
          <w:p w14:paraId="2C082844" w14:textId="6EDD1B64" w:rsidR="000051AC" w:rsidRPr="003F6065" w:rsidRDefault="000051AC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Prise en charge de tous les enfants en bonne santé bénéficiant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un contrat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4934667C" w14:textId="075A07E2" w:rsidR="000051AC" w:rsidRPr="003F6065" w:rsidRDefault="006302C3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Prise en charge ambulatoire en cas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urgences</w:t>
            </w:r>
          </w:p>
        </w:tc>
        <w:tc>
          <w:tcPr>
            <w:tcW w:w="2101" w:type="dxa"/>
          </w:tcPr>
          <w:p w14:paraId="7A4C80EE" w14:textId="5BAD3D15" w:rsidR="000051AC" w:rsidRPr="003F6065" w:rsidRDefault="000051A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accueil des enfants</w:t>
            </w:r>
          </w:p>
        </w:tc>
        <w:tc>
          <w:tcPr>
            <w:tcW w:w="2101" w:type="dxa"/>
          </w:tcPr>
          <w:p w14:paraId="63FB1B27" w14:textId="77777777" w:rsidR="000051AC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Enfants et parents</w:t>
            </w:r>
          </w:p>
        </w:tc>
        <w:tc>
          <w:tcPr>
            <w:tcW w:w="1326" w:type="dxa"/>
          </w:tcPr>
          <w:p w14:paraId="334D8834" w14:textId="77777777" w:rsidR="000051AC" w:rsidRPr="003F6065" w:rsidRDefault="000051A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406EEEFC" w14:textId="19318EC9" w:rsidR="000051AC" w:rsidRPr="003F6065" w:rsidRDefault="000051A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7AD306F2" w14:textId="77777777" w:rsidR="000051AC" w:rsidRPr="003F6065" w:rsidRDefault="000051A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CBE641C" w14:textId="51509EEC" w:rsidR="000051AC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7F1332C0" w14:textId="77777777" w:rsidR="000051AC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Pas de responsabilité pour les crèches privées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6302C3" w:rsidRPr="003F6065" w14:paraId="6DECD657" w14:textId="77777777" w:rsidTr="00E47235">
        <w:tc>
          <w:tcPr>
            <w:tcW w:w="1526" w:type="dxa"/>
          </w:tcPr>
          <w:p w14:paraId="6D08506B" w14:textId="77777777" w:rsidR="006302C3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Formation et scolarité</w:t>
            </w:r>
          </w:p>
        </w:tc>
        <w:tc>
          <w:tcPr>
            <w:tcW w:w="3402" w:type="dxa"/>
          </w:tcPr>
          <w:p w14:paraId="7301F8ED" w14:textId="77777777" w:rsidR="006302C3" w:rsidRPr="0065398B" w:rsidRDefault="00C13E8E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École obligatoire (de la 1H à la 11H)</w:t>
            </w:r>
          </w:p>
          <w:p w14:paraId="77309083" w14:textId="4716A9FE" w:rsidR="006302C3" w:rsidRPr="003F6065" w:rsidRDefault="0065398B" w:rsidP="009A0DA8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 xml:space="preserve">Maintenir </w:t>
            </w:r>
            <w:r w:rsidR="00C13E8E" w:rsidRPr="003F6065">
              <w:rPr>
                <w:rFonts w:ascii="Arial" w:hAnsi="Arial" w:cs="Arial"/>
                <w:sz w:val="18"/>
                <w:lang w:val="fr-CH"/>
              </w:rPr>
              <w:t xml:space="preserve">un fonctionnement minimal des écoles et </w:t>
            </w:r>
            <w:r>
              <w:rPr>
                <w:rFonts w:ascii="Arial" w:hAnsi="Arial" w:cs="Arial"/>
                <w:sz w:val="18"/>
                <w:lang w:val="fr-CH"/>
              </w:rPr>
              <w:t>la</w:t>
            </w:r>
            <w:r w:rsidR="00C13E8E" w:rsidRPr="003F6065">
              <w:rPr>
                <w:rFonts w:ascii="Arial" w:hAnsi="Arial" w:cs="Arial"/>
                <w:sz w:val="18"/>
                <w:lang w:val="fr-CH"/>
              </w:rPr>
              <w:t xml:space="preserve"> prise en charge des </w:t>
            </w:r>
            <w:r w:rsidR="00C13E8E" w:rsidRPr="003F6065">
              <w:rPr>
                <w:rFonts w:ascii="Arial" w:hAnsi="Arial" w:cs="Arial"/>
                <w:sz w:val="18"/>
                <w:lang w:val="fr-CH"/>
              </w:rPr>
              <w:lastRenderedPageBreak/>
              <w:t>enfants (école</w:t>
            </w:r>
            <w:r>
              <w:rPr>
                <w:rFonts w:ascii="Arial" w:hAnsi="Arial" w:cs="Arial"/>
                <w:sz w:val="18"/>
                <w:lang w:val="fr-CH"/>
              </w:rPr>
              <w:t>s</w:t>
            </w:r>
            <w:r w:rsidR="00C13E8E" w:rsidRPr="003F6065">
              <w:rPr>
                <w:rFonts w:ascii="Arial" w:hAnsi="Arial" w:cs="Arial"/>
                <w:sz w:val="18"/>
                <w:lang w:val="fr-CH"/>
              </w:rPr>
              <w:t xml:space="preserve"> à journée continue) en étroite relation avec le canton, responsable de la fermeture des écoles</w:t>
            </w:r>
          </w:p>
        </w:tc>
        <w:tc>
          <w:tcPr>
            <w:tcW w:w="2101" w:type="dxa"/>
          </w:tcPr>
          <w:p w14:paraId="1D24DDA4" w14:textId="77777777" w:rsidR="006302C3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Secteur spécialisé de la formation</w:t>
            </w:r>
          </w:p>
        </w:tc>
        <w:tc>
          <w:tcPr>
            <w:tcW w:w="2101" w:type="dxa"/>
          </w:tcPr>
          <w:p w14:paraId="2A578D5C" w14:textId="77777777" w:rsidR="00C13E8E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Enfants</w:t>
            </w:r>
          </w:p>
          <w:p w14:paraId="7BD6BF69" w14:textId="579A80F9" w:rsidR="006302C3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Parents et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F6065">
              <w:rPr>
                <w:rFonts w:ascii="Arial" w:hAnsi="Arial" w:cs="Arial"/>
                <w:sz w:val="18"/>
                <w:lang w:val="fr-CH"/>
              </w:rPr>
              <w:t>représentants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Pr="003F6065">
              <w:rPr>
                <w:rFonts w:ascii="Arial" w:hAnsi="Arial" w:cs="Arial"/>
                <w:sz w:val="18"/>
                <w:lang w:val="fr-CH"/>
              </w:rPr>
              <w:t>légaux</w:t>
            </w:r>
          </w:p>
          <w:p w14:paraId="787A19CD" w14:textId="77777777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Corps enseignant</w:t>
            </w:r>
          </w:p>
          <w:p w14:paraId="7F3CB4A5" w14:textId="1D447C4F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Conductrices et conducteurs de bus scolaires</w:t>
            </w:r>
          </w:p>
          <w:p w14:paraId="56EB22CA" w14:textId="2307D544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Concierges</w:t>
            </w:r>
          </w:p>
        </w:tc>
        <w:tc>
          <w:tcPr>
            <w:tcW w:w="1326" w:type="dxa"/>
          </w:tcPr>
          <w:p w14:paraId="15A27B2C" w14:textId="77777777" w:rsidR="006302C3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Vital</w:t>
            </w:r>
          </w:p>
        </w:tc>
        <w:tc>
          <w:tcPr>
            <w:tcW w:w="1917" w:type="dxa"/>
          </w:tcPr>
          <w:p w14:paraId="155C0E05" w14:textId="25593925" w:rsidR="006302C3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B73188F" w14:textId="77777777" w:rsidR="006302C3" w:rsidRPr="003F6065" w:rsidRDefault="006302C3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CC946FD" w14:textId="698214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70B514D3" w14:textId="5D52AC8B" w:rsidR="006302C3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Le secondaire II relève de la compétence du canton</w:t>
            </w:r>
            <w:r w:rsidR="0065398B">
              <w:rPr>
                <w:rFonts w:ascii="Arial" w:hAnsi="Arial" w:cs="Arial"/>
                <w:sz w:val="18"/>
                <w:lang w:val="fr-CH"/>
              </w:rPr>
              <w:t>.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C13E8E" w:rsidRPr="003F6065" w14:paraId="7515703D" w14:textId="77777777" w:rsidTr="00E47235">
        <w:tc>
          <w:tcPr>
            <w:tcW w:w="1526" w:type="dxa"/>
          </w:tcPr>
          <w:p w14:paraId="31E7B2D4" w14:textId="77777777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Ressources humaines et financières</w:t>
            </w:r>
          </w:p>
        </w:tc>
        <w:tc>
          <w:tcPr>
            <w:tcW w:w="3402" w:type="dxa"/>
          </w:tcPr>
          <w:p w14:paraId="20C44629" w14:textId="77777777" w:rsidR="00C13E8E" w:rsidRPr="0065398B" w:rsidRDefault="00C13E8E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Finances / gestion des liquidités</w:t>
            </w:r>
          </w:p>
          <w:p w14:paraId="24C44FE3" w14:textId="3509690C" w:rsidR="00C13E8E" w:rsidRPr="003F6065" w:rsidRDefault="00C34F7E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salaires et les indemnités sont payés</w:t>
            </w:r>
            <w:r w:rsidR="0065398B">
              <w:rPr>
                <w:rFonts w:ascii="Arial" w:hAnsi="Arial" w:cs="Arial"/>
                <w:sz w:val="18"/>
                <w:lang w:val="fr-CH"/>
              </w:rPr>
              <w:t>.</w:t>
            </w:r>
          </w:p>
          <w:p w14:paraId="1A398BC3" w14:textId="2F6AD133" w:rsidR="00C34F7E" w:rsidRPr="003F6065" w:rsidRDefault="0065398B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 xml:space="preserve">La </w:t>
            </w:r>
            <w:r w:rsidR="00C34F7E" w:rsidRPr="003F6065">
              <w:rPr>
                <w:rFonts w:ascii="Arial" w:hAnsi="Arial" w:cs="Arial"/>
                <w:sz w:val="18"/>
                <w:lang w:val="fr-CH"/>
              </w:rPr>
              <w:t>gestion de la trésorerie</w:t>
            </w:r>
            <w:r>
              <w:rPr>
                <w:rFonts w:ascii="Arial" w:hAnsi="Arial" w:cs="Arial"/>
                <w:sz w:val="18"/>
                <w:lang w:val="fr-CH"/>
              </w:rPr>
              <w:t xml:space="preserve"> est assurée.</w:t>
            </w:r>
          </w:p>
          <w:p w14:paraId="2CB37894" w14:textId="2FE86E11" w:rsidR="00C34F7E" w:rsidRPr="003F6065" w:rsidRDefault="00C34F7E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factures sont payées à temps</w:t>
            </w:r>
            <w:r w:rsidR="0065398B">
              <w:rPr>
                <w:rFonts w:ascii="Arial" w:hAnsi="Arial" w:cs="Arial"/>
                <w:sz w:val="18"/>
                <w:lang w:val="fr-CH"/>
              </w:rPr>
              <w:t>.</w:t>
            </w:r>
          </w:p>
          <w:p w14:paraId="4A0CD31E" w14:textId="1F582864" w:rsidR="00C13E8E" w:rsidRPr="003F6065" w:rsidRDefault="00C34F7E" w:rsidP="00E47235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Les tâches importantes dans le domaine des finances et du personnel (mutations, etc.) sont assurées.</w:t>
            </w:r>
          </w:p>
        </w:tc>
        <w:tc>
          <w:tcPr>
            <w:tcW w:w="2101" w:type="dxa"/>
          </w:tcPr>
          <w:p w14:paraId="690C1038" w14:textId="77777777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des finances et du personnel</w:t>
            </w:r>
          </w:p>
        </w:tc>
        <w:tc>
          <w:tcPr>
            <w:tcW w:w="2101" w:type="dxa"/>
          </w:tcPr>
          <w:p w14:paraId="0ED72AE2" w14:textId="77777777" w:rsidR="00C13E8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Collaboratrices et collaborateurs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6F94E136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Services administratifs</w:t>
            </w:r>
          </w:p>
          <w:p w14:paraId="3D90CEE7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Entreprises artisanales</w:t>
            </w:r>
          </w:p>
          <w:p w14:paraId="775E382D" w14:textId="1AE99332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Organisations partenaires</w:t>
            </w:r>
          </w:p>
          <w:p w14:paraId="749E0264" w14:textId="39034F2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OCRég/OCCne</w:t>
            </w:r>
          </w:p>
          <w:p w14:paraId="6CCEB3D5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Entreprises artisanales et prestataires</w:t>
            </w:r>
          </w:p>
        </w:tc>
        <w:tc>
          <w:tcPr>
            <w:tcW w:w="1326" w:type="dxa"/>
          </w:tcPr>
          <w:p w14:paraId="50D5D5CF" w14:textId="77777777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3678418A" w14:textId="63B37BAA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3E770EB8" w14:textId="77777777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87C7C89" w14:textId="545EAE4C" w:rsidR="00C13E8E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5AC28FD9" w14:textId="77777777" w:rsidR="00C13E8E" w:rsidRPr="003F6065" w:rsidRDefault="00C13E8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34F7E" w:rsidRPr="003F6065" w14:paraId="4746F1D5" w14:textId="77777777" w:rsidTr="00E47235">
        <w:tc>
          <w:tcPr>
            <w:tcW w:w="1526" w:type="dxa"/>
          </w:tcPr>
          <w:p w14:paraId="7A08B0EA" w14:textId="23E4EC3D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Communication</w:t>
            </w:r>
          </w:p>
        </w:tc>
        <w:tc>
          <w:tcPr>
            <w:tcW w:w="3402" w:type="dxa"/>
          </w:tcPr>
          <w:p w14:paraId="3A7805DB" w14:textId="77777777" w:rsidR="00C34F7E" w:rsidRPr="0065398B" w:rsidRDefault="00C34F7E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Information</w:t>
            </w:r>
            <w:r w:rsidRPr="0065398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  <w:t xml:space="preserve"> </w:t>
            </w:r>
          </w:p>
          <w:p w14:paraId="29857E59" w14:textId="02040BE3" w:rsidR="00C34F7E" w:rsidRPr="003F6065" w:rsidRDefault="00C34F7E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la communication stratégique et politique (p.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ex.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analyse et informations concernant la cause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événement, la portée politique ou financière, ou la prévention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événements risquant de survenir)</w:t>
            </w:r>
          </w:p>
          <w:p w14:paraId="7DBB481D" w14:textId="5EEB4E08" w:rsidR="00C34F7E" w:rsidRPr="003F6065" w:rsidRDefault="00C34F7E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la communication par les services compétents (organisations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urgence, OCRég/OCCne, etc.) concernant les événements ou les directives en matière de comportement.</w:t>
            </w:r>
          </w:p>
        </w:tc>
        <w:tc>
          <w:tcPr>
            <w:tcW w:w="2101" w:type="dxa"/>
          </w:tcPr>
          <w:p w14:paraId="14CA7EDE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la communication</w:t>
            </w:r>
          </w:p>
          <w:p w14:paraId="3771D31B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4BC7F16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E644562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7C6AB01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B9AF624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2E1A66F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5BAC49E" w14:textId="4317F9BD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OCRég/OCCne ou organisations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intervention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urgence</w:t>
            </w:r>
          </w:p>
        </w:tc>
        <w:tc>
          <w:tcPr>
            <w:tcW w:w="2101" w:type="dxa"/>
          </w:tcPr>
          <w:p w14:paraId="4915C880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Public au sens large</w:t>
            </w:r>
          </w:p>
          <w:p w14:paraId="63B9ADF1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Médias</w:t>
            </w:r>
          </w:p>
          <w:p w14:paraId="6552CF6A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Milieux politiques</w:t>
            </w:r>
          </w:p>
          <w:p w14:paraId="34EBFFAF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Administration</w:t>
            </w:r>
          </w:p>
          <w:p w14:paraId="5CBC9ECF" w14:textId="4F006562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OCRég/OCCne/OCAA/OCCant</w:t>
            </w:r>
          </w:p>
        </w:tc>
        <w:tc>
          <w:tcPr>
            <w:tcW w:w="1326" w:type="dxa"/>
          </w:tcPr>
          <w:p w14:paraId="4B255AEB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731DBC8A" w14:textId="715A29D9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6D6EBCC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C0AFE25" w14:textId="77777777" w:rsidR="00C34F7E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10EE6F31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F59D3B0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77E5D02D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453C595C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3A7723B8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607F2E3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0D862A33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528820F0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699B50D5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E20E015" w14:textId="0678D812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1E41397B" w14:textId="77777777" w:rsidR="00C34F7E" w:rsidRPr="003F6065" w:rsidRDefault="00C34F7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06413B" w:rsidRPr="003F6065" w14:paraId="46391467" w14:textId="77777777" w:rsidTr="00E47235">
        <w:tc>
          <w:tcPr>
            <w:tcW w:w="1526" w:type="dxa"/>
          </w:tcPr>
          <w:p w14:paraId="07B86388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lastRenderedPageBreak/>
              <w:t>Logistique</w:t>
            </w:r>
          </w:p>
        </w:tc>
        <w:tc>
          <w:tcPr>
            <w:tcW w:w="3402" w:type="dxa"/>
          </w:tcPr>
          <w:p w14:paraId="47CF0224" w14:textId="77777777" w:rsidR="0006413B" w:rsidRPr="0065398B" w:rsidRDefault="0006413B" w:rsidP="0006413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Logistique</w:t>
            </w:r>
          </w:p>
          <w:p w14:paraId="6B91FF95" w14:textId="3C1C6A7E" w:rsidR="0006413B" w:rsidRPr="003F6065" w:rsidRDefault="0006413B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la livraison des produits nécessaires à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exploitation (vitaux) pour les services administratifs et les organisations</w:t>
            </w:r>
          </w:p>
          <w:p w14:paraId="5B06F588" w14:textId="33416AD2" w:rsidR="0006413B" w:rsidRPr="003F6065" w:rsidRDefault="0006413B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exploitation d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urgence de la station-service définie (avec alimentation électrique </w:t>
            </w:r>
            <w:r w:rsidR="0097618D">
              <w:rPr>
                <w:rFonts w:ascii="Arial" w:hAnsi="Arial" w:cs="Arial"/>
                <w:sz w:val="18"/>
                <w:lang w:val="fr-CH"/>
              </w:rPr>
              <w:t>de secours</w:t>
            </w:r>
            <w:r w:rsidRPr="003F6065">
              <w:rPr>
                <w:rFonts w:ascii="Arial" w:hAnsi="Arial" w:cs="Arial"/>
                <w:sz w:val="18"/>
                <w:lang w:val="fr-CH"/>
              </w:rPr>
              <w:t>) pour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essence et le diesel 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/ 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définir la quantité minimale de remplissage </w:t>
            </w:r>
          </w:p>
          <w:p w14:paraId="35064CBB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101" w:type="dxa"/>
          </w:tcPr>
          <w:p w14:paraId="4DBA721B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Service logistique et autres services administratifs</w:t>
            </w:r>
          </w:p>
          <w:p w14:paraId="04B85D4A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FDF8D71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E41EC50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2137EBF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0F23C61" w14:textId="66F0B854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OCRég/OCCne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01" w:type="dxa"/>
          </w:tcPr>
          <w:p w14:paraId="58032AA8" w14:textId="1F5B7615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Ensemble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administration</w:t>
            </w:r>
          </w:p>
          <w:p w14:paraId="0C884B92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3C7E007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5EA4B08" w14:textId="77777777" w:rsidR="007E21CC" w:rsidRPr="003F6065" w:rsidRDefault="007E21C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84D2742" w14:textId="77777777" w:rsidR="007E21CC" w:rsidRPr="003F6065" w:rsidRDefault="007E21C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12E7CF0B" w14:textId="77777777" w:rsidR="007E21CC" w:rsidRPr="003F6065" w:rsidRDefault="007E21CC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1FE9815" w14:textId="15BEBBE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 xml:space="preserve">Ensemble </w:t>
            </w:r>
            <w:r w:rsidR="0065398B">
              <w:rPr>
                <w:rFonts w:ascii="Arial" w:hAnsi="Arial" w:cs="Arial"/>
                <w:sz w:val="18"/>
                <w:lang w:val="fr-CH"/>
              </w:rPr>
              <w:t xml:space="preserve">de l’exploitation </w:t>
            </w:r>
            <w:r w:rsidRPr="003F6065">
              <w:rPr>
                <w:rFonts w:ascii="Arial" w:hAnsi="Arial" w:cs="Arial"/>
                <w:sz w:val="18"/>
                <w:lang w:val="fr-CH"/>
              </w:rPr>
              <w:t xml:space="preserve">administrative </w:t>
            </w:r>
          </w:p>
          <w:p w14:paraId="7F1D5B94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Sapeurs-pompiers</w:t>
            </w:r>
          </w:p>
          <w:p w14:paraId="244F49EF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Protection civile</w:t>
            </w:r>
          </w:p>
          <w:p w14:paraId="10D41165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Approvisionnement et élimination</w:t>
            </w:r>
          </w:p>
          <w:p w14:paraId="0E555F87" w14:textId="0DC09FB0" w:rsidR="007E21CC" w:rsidRPr="003F6065" w:rsidRDefault="0006413B" w:rsidP="009A0DA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Services externes tels que les soins à domicile, etc.</w:t>
            </w:r>
          </w:p>
        </w:tc>
        <w:tc>
          <w:tcPr>
            <w:tcW w:w="1326" w:type="dxa"/>
          </w:tcPr>
          <w:p w14:paraId="7C3E6800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0128BD6B" w14:textId="6405A5C6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12F75743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05A3E171" w14:textId="77777777" w:rsidR="0006413B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2609E096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20674F9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39E895BE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20131983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33780D7C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6DD533F9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  <w:p w14:paraId="20B8C9D7" w14:textId="77777777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35DB7152" w14:textId="6C240AE1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3E971CCF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Alimentation électrique de secours</w:t>
            </w:r>
          </w:p>
        </w:tc>
      </w:tr>
      <w:tr w:rsidR="0006413B" w:rsidRPr="003F6065" w14:paraId="5699B36C" w14:textId="77777777" w:rsidTr="00E47235">
        <w:tc>
          <w:tcPr>
            <w:tcW w:w="1526" w:type="dxa"/>
          </w:tcPr>
          <w:p w14:paraId="722D186C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Immobilier</w:t>
            </w:r>
          </w:p>
        </w:tc>
        <w:tc>
          <w:tcPr>
            <w:tcW w:w="3402" w:type="dxa"/>
          </w:tcPr>
          <w:p w14:paraId="470EDFA5" w14:textId="77777777" w:rsidR="0006413B" w:rsidRPr="0065398B" w:rsidRDefault="0006413B" w:rsidP="0006413B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5398B">
              <w:rPr>
                <w:rFonts w:ascii="Arial" w:hAnsi="Arial" w:cs="Arial"/>
                <w:b/>
                <w:bCs/>
                <w:sz w:val="18"/>
                <w:lang w:val="fr-CH"/>
              </w:rPr>
              <w:t>Immobilier (communal)</w:t>
            </w:r>
          </w:p>
          <w:p w14:paraId="20A692E3" w14:textId="1C60DBD5" w:rsidR="0006413B" w:rsidRPr="003F6065" w:rsidRDefault="0006413B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la gestion immobilière</w:t>
            </w:r>
          </w:p>
          <w:p w14:paraId="315DCF0E" w14:textId="32365088" w:rsidR="0006413B" w:rsidRPr="003F6065" w:rsidRDefault="0006413B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Assurer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exploitation et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entretien des bâtiments</w:t>
            </w:r>
          </w:p>
          <w:p w14:paraId="76DD1596" w14:textId="2746732F" w:rsidR="0006413B" w:rsidRPr="003F6065" w:rsidRDefault="0006413B" w:rsidP="0006413B">
            <w:pPr>
              <w:pStyle w:val="Paragraphedeliste"/>
              <w:numPr>
                <w:ilvl w:val="0"/>
                <w:numId w:val="9"/>
              </w:numPr>
              <w:ind w:left="179" w:hanging="179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Garantir la sécurité</w:t>
            </w:r>
          </w:p>
        </w:tc>
        <w:tc>
          <w:tcPr>
            <w:tcW w:w="2101" w:type="dxa"/>
          </w:tcPr>
          <w:p w14:paraId="1A9222F7" w14:textId="18499C76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Secteur spécialisé de l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’</w:t>
            </w:r>
            <w:r w:rsidRPr="003F6065">
              <w:rPr>
                <w:rFonts w:ascii="Arial" w:hAnsi="Arial" w:cs="Arial"/>
                <w:sz w:val="18"/>
                <w:lang w:val="fr-CH"/>
              </w:rPr>
              <w:t>immobilier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101" w:type="dxa"/>
          </w:tcPr>
          <w:p w14:paraId="735420CA" w14:textId="216A0D68" w:rsidR="0006413B" w:rsidRPr="003F6065" w:rsidRDefault="003E689E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Locataires</w:t>
            </w:r>
          </w:p>
          <w:p w14:paraId="7D7AD506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Utilisatrices et utilisateurs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6C4B39E4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Fournisseurs</w:t>
            </w:r>
          </w:p>
          <w:p w14:paraId="1CF8E3A1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326" w:type="dxa"/>
          </w:tcPr>
          <w:p w14:paraId="13415E73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Vital</w:t>
            </w:r>
          </w:p>
        </w:tc>
        <w:tc>
          <w:tcPr>
            <w:tcW w:w="1917" w:type="dxa"/>
          </w:tcPr>
          <w:p w14:paraId="4DD115C7" w14:textId="187D4B06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lang w:val="fr-CH"/>
              </w:rPr>
              <w:t>Planifications effectuées dans ce domaine</w:t>
            </w:r>
            <w:r w:rsidR="003F6065" w:rsidRPr="003F6065">
              <w:rPr>
                <w:rFonts w:ascii="Arial" w:hAnsi="Arial" w:cs="Arial"/>
                <w:sz w:val="18"/>
                <w:lang w:val="fr-CH"/>
              </w:rPr>
              <w:t> </w:t>
            </w:r>
            <w:r w:rsidRPr="003F6065">
              <w:rPr>
                <w:rFonts w:ascii="Arial" w:hAnsi="Arial" w:cs="Arial"/>
                <w:sz w:val="18"/>
                <w:lang w:val="fr-CH"/>
              </w:rPr>
              <w:t>:</w:t>
            </w: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14:paraId="5DCD8977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14:paraId="701B1F24" w14:textId="311F76B1" w:rsidR="007A7831" w:rsidRPr="003F6065" w:rsidRDefault="007A7831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F6065">
              <w:rPr>
                <w:rFonts w:ascii="Arial" w:hAnsi="Arial" w:cs="Arial"/>
                <w:sz w:val="18"/>
                <w:szCs w:val="18"/>
                <w:lang w:val="fr-CH"/>
              </w:rPr>
              <w:t>……………………….</w:t>
            </w:r>
          </w:p>
        </w:tc>
        <w:tc>
          <w:tcPr>
            <w:tcW w:w="2336" w:type="dxa"/>
          </w:tcPr>
          <w:p w14:paraId="5B869F4A" w14:textId="77777777" w:rsidR="0006413B" w:rsidRPr="003F6065" w:rsidRDefault="0006413B" w:rsidP="0006413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14:paraId="491F9691" w14:textId="77777777" w:rsidR="0006413B" w:rsidRPr="003F6065" w:rsidRDefault="0006413B">
      <w:pPr>
        <w:rPr>
          <w:rFonts w:ascii="Arial" w:hAnsi="Arial" w:cs="Arial"/>
          <w:sz w:val="18"/>
          <w:szCs w:val="18"/>
          <w:lang w:val="fr-CH"/>
        </w:rPr>
      </w:pPr>
    </w:p>
    <w:sectPr w:rsidR="0006413B" w:rsidRPr="003F6065" w:rsidSect="00D9203A">
      <w:headerReference w:type="default" r:id="rId15"/>
      <w:footerReference w:type="default" r:id="rId16"/>
      <w:pgSz w:w="16838" w:h="11906" w:orient="landscape" w:code="9"/>
      <w:pgMar w:top="226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5FC9" w14:textId="77777777" w:rsidR="00E87A0C" w:rsidRDefault="00E87A0C" w:rsidP="00087EDE">
      <w:pPr>
        <w:spacing w:line="240" w:lineRule="auto"/>
      </w:pPr>
      <w:r>
        <w:separator/>
      </w:r>
    </w:p>
  </w:endnote>
  <w:endnote w:type="continuationSeparator" w:id="0">
    <w:p w14:paraId="4F34068F" w14:textId="77777777" w:rsidR="00E87A0C" w:rsidRDefault="00E87A0C" w:rsidP="00087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6FF2" w14:textId="4CDD8EAF" w:rsidR="00F2091B" w:rsidRPr="001346F0" w:rsidRDefault="00F2091B" w:rsidP="00F2091B">
    <w:pPr>
      <w:pStyle w:val="Pieddepage"/>
      <w:tabs>
        <w:tab w:val="clear" w:pos="4536"/>
        <w:tab w:val="clear" w:pos="9072"/>
        <w:tab w:val="right" w:pos="14286"/>
      </w:tabs>
      <w:rPr>
        <w:lang w:val="fr-CH"/>
      </w:rPr>
    </w:pPr>
    <w: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1346F0">
      <w:rPr>
        <w:rFonts w:ascii="Arial" w:hAnsi="Arial" w:cs="Arial"/>
        <w:noProof/>
        <w:sz w:val="16"/>
        <w:szCs w:val="16"/>
      </w:rPr>
      <w:t>20.08.2023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1346F0">
      <w:rPr>
        <w:rFonts w:ascii="Arial" w:hAnsi="Arial" w:cs="Arial"/>
        <w:sz w:val="16"/>
        <w:lang w:val="fr-CH"/>
      </w:rPr>
      <w:t>page</w:t>
    </w:r>
    <w:r w:rsidR="0065398B" w:rsidRPr="001346F0">
      <w:rPr>
        <w:rFonts w:ascii="Arial" w:hAnsi="Arial" w:cs="Arial"/>
        <w:sz w:val="16"/>
        <w:lang w:val="fr-CH"/>
      </w:rPr>
      <w:t> </w:t>
    </w:r>
    <w:r w:rsidRPr="001346F0">
      <w:rPr>
        <w:lang w:val="fr-CH"/>
      </w:rPr>
      <w:fldChar w:fldCharType="begin"/>
    </w:r>
    <w:r w:rsidRPr="001346F0">
      <w:rPr>
        <w:rFonts w:ascii="Arial" w:hAnsi="Arial" w:cs="Arial"/>
        <w:b/>
        <w:bCs/>
        <w:sz w:val="16"/>
        <w:szCs w:val="16"/>
        <w:lang w:val="fr-CH"/>
      </w:rPr>
      <w:instrText>PAGE  \* Arabic  \* MERGEFORMAT</w:instrText>
    </w:r>
    <w:r w:rsidRPr="001346F0">
      <w:rPr>
        <w:rFonts w:ascii="Arial" w:hAnsi="Arial" w:cs="Arial"/>
        <w:b/>
        <w:bCs/>
        <w:sz w:val="16"/>
        <w:szCs w:val="16"/>
        <w:lang w:val="fr-CH"/>
      </w:rPr>
      <w:fldChar w:fldCharType="separate"/>
    </w:r>
    <w:r w:rsidRPr="001346F0">
      <w:rPr>
        <w:rFonts w:ascii="Arial" w:hAnsi="Arial" w:cs="Arial"/>
        <w:sz w:val="16"/>
        <w:lang w:val="fr-CH"/>
      </w:rPr>
      <w:t>1</w:t>
    </w:r>
    <w:r w:rsidRPr="001346F0">
      <w:rPr>
        <w:rFonts w:ascii="Arial" w:hAnsi="Arial" w:cs="Arial"/>
        <w:b/>
        <w:bCs/>
        <w:sz w:val="16"/>
        <w:szCs w:val="16"/>
        <w:lang w:val="fr-CH"/>
      </w:rPr>
      <w:fldChar w:fldCharType="end"/>
    </w:r>
    <w:r w:rsidR="0065398B" w:rsidRPr="001346F0">
      <w:rPr>
        <w:rFonts w:ascii="Arial" w:hAnsi="Arial" w:cs="Arial"/>
        <w:b/>
        <w:bCs/>
        <w:sz w:val="16"/>
        <w:szCs w:val="16"/>
        <w:lang w:val="fr-CH"/>
      </w:rPr>
      <w:t> </w:t>
    </w:r>
    <w:r w:rsidRPr="001346F0">
      <w:rPr>
        <w:rFonts w:ascii="Arial" w:hAnsi="Arial" w:cs="Arial"/>
        <w:sz w:val="16"/>
        <w:lang w:val="fr-CH"/>
      </w:rPr>
      <w:t>sur</w:t>
    </w:r>
    <w:r w:rsidR="0065398B" w:rsidRPr="001346F0">
      <w:rPr>
        <w:rFonts w:ascii="Arial" w:hAnsi="Arial" w:cs="Arial"/>
        <w:sz w:val="16"/>
        <w:lang w:val="fr-CH"/>
      </w:rPr>
      <w:t> </w:t>
    </w:r>
    <w:r w:rsidRPr="001346F0">
      <w:rPr>
        <w:lang w:val="fr-CH"/>
      </w:rPr>
      <w:fldChar w:fldCharType="begin"/>
    </w:r>
    <w:r w:rsidRPr="001346F0">
      <w:rPr>
        <w:rFonts w:ascii="Arial" w:hAnsi="Arial" w:cs="Arial"/>
        <w:b/>
        <w:bCs/>
        <w:sz w:val="16"/>
        <w:szCs w:val="16"/>
        <w:lang w:val="fr-CH"/>
      </w:rPr>
      <w:instrText>NUMPAGES  \* Arabic  \* MERGEFORMAT</w:instrText>
    </w:r>
    <w:r w:rsidRPr="001346F0">
      <w:rPr>
        <w:rFonts w:ascii="Arial" w:hAnsi="Arial" w:cs="Arial"/>
        <w:b/>
        <w:bCs/>
        <w:sz w:val="16"/>
        <w:szCs w:val="16"/>
        <w:lang w:val="fr-CH"/>
      </w:rPr>
      <w:fldChar w:fldCharType="separate"/>
    </w:r>
    <w:r w:rsidRPr="001346F0">
      <w:rPr>
        <w:rFonts w:ascii="Arial" w:hAnsi="Arial" w:cs="Arial"/>
        <w:sz w:val="16"/>
        <w:lang w:val="fr-CH"/>
      </w:rPr>
      <w:t>2</w:t>
    </w:r>
    <w:r w:rsidRPr="001346F0">
      <w:rPr>
        <w:rFonts w:ascii="Arial" w:hAnsi="Arial" w:cs="Arial"/>
        <w:b/>
        <w:bCs/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3AEB" w14:textId="77777777" w:rsidR="00E87A0C" w:rsidRDefault="00E87A0C" w:rsidP="00087EDE">
      <w:pPr>
        <w:spacing w:line="240" w:lineRule="auto"/>
      </w:pPr>
      <w:r>
        <w:separator/>
      </w:r>
    </w:p>
  </w:footnote>
  <w:footnote w:type="continuationSeparator" w:id="0">
    <w:p w14:paraId="2E0974D6" w14:textId="77777777" w:rsidR="00E87A0C" w:rsidRDefault="00E87A0C" w:rsidP="00087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917"/>
      <w:gridCol w:w="9580"/>
    </w:tblGrid>
    <w:tr w:rsidR="00FD231A" w14:paraId="4DA17653" w14:textId="77777777" w:rsidTr="000C06F9">
      <w:trPr>
        <w:trHeight w:val="1020"/>
      </w:trPr>
      <w:tc>
        <w:tcPr>
          <w:tcW w:w="1917" w:type="dxa"/>
          <w:vAlign w:val="center"/>
        </w:tcPr>
        <w:p w14:paraId="64D9A22A" w14:textId="77777777" w:rsidR="00FD231A" w:rsidRDefault="00FD231A" w:rsidP="00FD231A">
          <w:pPr>
            <w:pStyle w:val="Sansinterligne"/>
            <w:ind w:left="-113"/>
          </w:pPr>
          <w:r>
            <w:rPr>
              <w:noProof/>
            </w:rPr>
            <w:drawing>
              <wp:inline distT="0" distB="0" distL="0" distR="0" wp14:anchorId="4645370D" wp14:editId="685DD2F3">
                <wp:extent cx="548640" cy="441235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0" w:type="dxa"/>
          <w:vAlign w:val="center"/>
        </w:tcPr>
        <w:p w14:paraId="0C2F13C8" w14:textId="1C0AF15B" w:rsidR="00FD231A" w:rsidRPr="001346F0" w:rsidRDefault="00FD231A" w:rsidP="00FD231A">
          <w:pPr>
            <w:pStyle w:val="Sansinterligne"/>
            <w:rPr>
              <w:rFonts w:ascii="Arial" w:hAnsi="Arial" w:cs="Arial"/>
              <w:b/>
              <w:bCs/>
              <w:sz w:val="32"/>
              <w:szCs w:val="20"/>
              <w:lang w:val="fr-CH"/>
            </w:rPr>
          </w:pPr>
          <w:r w:rsidRPr="001346F0">
            <w:rPr>
              <w:rFonts w:ascii="Arial" w:hAnsi="Arial" w:cs="Arial"/>
              <w:b/>
              <w:bCs/>
              <w:sz w:val="32"/>
              <w:lang w:val="fr-CH"/>
            </w:rPr>
            <w:t>Guide BCM, annexe 2</w:t>
          </w:r>
        </w:p>
        <w:p w14:paraId="05169010" w14:textId="4F133053" w:rsidR="00FD231A" w:rsidRPr="00064172" w:rsidRDefault="00FD231A" w:rsidP="00FD231A">
          <w:pPr>
            <w:pStyle w:val="Sansinterligne"/>
            <w:rPr>
              <w:rFonts w:ascii="Arial" w:hAnsi="Arial" w:cs="Arial"/>
              <w:b/>
              <w:sz w:val="32"/>
              <w:szCs w:val="20"/>
            </w:rPr>
          </w:pPr>
          <w:r w:rsidRPr="001346F0">
            <w:rPr>
              <w:rFonts w:ascii="Arial" w:hAnsi="Arial" w:cs="Arial"/>
              <w:b/>
              <w:bCs/>
              <w:sz w:val="32"/>
              <w:lang w:val="fr-CH"/>
            </w:rPr>
            <w:t>Liste de</w:t>
          </w:r>
          <w:r w:rsidR="001346F0" w:rsidRPr="001346F0">
            <w:rPr>
              <w:rFonts w:ascii="Arial" w:hAnsi="Arial" w:cs="Arial"/>
              <w:b/>
              <w:bCs/>
              <w:sz w:val="32"/>
              <w:lang w:val="fr-CH"/>
            </w:rPr>
            <w:t>s</w:t>
          </w:r>
          <w:r w:rsidRPr="001346F0">
            <w:rPr>
              <w:rFonts w:ascii="Arial" w:hAnsi="Arial" w:cs="Arial"/>
              <w:b/>
              <w:bCs/>
              <w:sz w:val="32"/>
              <w:lang w:val="fr-CH"/>
            </w:rPr>
            <w:t xml:space="preserve"> tâches potentiellement vitales pour une commune</w:t>
          </w:r>
        </w:p>
      </w:tc>
    </w:tr>
  </w:tbl>
  <w:p w14:paraId="24F0F7EF" w14:textId="17719799" w:rsidR="0006413B" w:rsidRPr="00FD231A" w:rsidRDefault="00543AFC" w:rsidP="009A0DA8">
    <w:pPr>
      <w:pStyle w:val="En-tte"/>
      <w:pBdr>
        <w:bottom w:val="single" w:sz="4" w:space="1" w:color="auto"/>
      </w:pBdr>
      <w:ind w:right="-370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18A"/>
    <w:multiLevelType w:val="multilevel"/>
    <w:tmpl w:val="14C41A7A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12FAF"/>
    <w:multiLevelType w:val="hybridMultilevel"/>
    <w:tmpl w:val="C44AFAD0"/>
    <w:lvl w:ilvl="0" w:tplc="2F289F8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506"/>
    <w:multiLevelType w:val="hybridMultilevel"/>
    <w:tmpl w:val="C128A1CC"/>
    <w:lvl w:ilvl="0" w:tplc="524EE37E">
      <w:start w:val="1"/>
      <w:numFmt w:val="decimal"/>
      <w:pStyle w:val="Titre4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FB0"/>
    <w:multiLevelType w:val="multilevel"/>
    <w:tmpl w:val="42844D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4" w15:restartNumberingAfterBreak="0">
    <w:nsid w:val="3C1D5C9E"/>
    <w:multiLevelType w:val="hybridMultilevel"/>
    <w:tmpl w:val="C26086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73735">
    <w:abstractNumId w:val="3"/>
  </w:num>
  <w:num w:numId="2" w16cid:durableId="737821829">
    <w:abstractNumId w:val="3"/>
  </w:num>
  <w:num w:numId="3" w16cid:durableId="1624657793">
    <w:abstractNumId w:val="3"/>
  </w:num>
  <w:num w:numId="4" w16cid:durableId="680358352">
    <w:abstractNumId w:val="3"/>
  </w:num>
  <w:num w:numId="5" w16cid:durableId="938416018">
    <w:abstractNumId w:val="3"/>
  </w:num>
  <w:num w:numId="6" w16cid:durableId="2054112271">
    <w:abstractNumId w:val="2"/>
  </w:num>
  <w:num w:numId="7" w16cid:durableId="802961803">
    <w:abstractNumId w:val="1"/>
  </w:num>
  <w:num w:numId="8" w16cid:durableId="1113087828">
    <w:abstractNumId w:val="0"/>
  </w:num>
  <w:num w:numId="9" w16cid:durableId="1897620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47"/>
    <w:rsid w:val="000051AC"/>
    <w:rsid w:val="00007774"/>
    <w:rsid w:val="00012F32"/>
    <w:rsid w:val="00062182"/>
    <w:rsid w:val="0006413B"/>
    <w:rsid w:val="00087EDE"/>
    <w:rsid w:val="000B0669"/>
    <w:rsid w:val="000C06F9"/>
    <w:rsid w:val="000C2E09"/>
    <w:rsid w:val="000F1A9B"/>
    <w:rsid w:val="000F495A"/>
    <w:rsid w:val="00103AB3"/>
    <w:rsid w:val="0013150F"/>
    <w:rsid w:val="001346F0"/>
    <w:rsid w:val="0014110D"/>
    <w:rsid w:val="001862C9"/>
    <w:rsid w:val="001D274A"/>
    <w:rsid w:val="002052A6"/>
    <w:rsid w:val="00213078"/>
    <w:rsid w:val="002328D8"/>
    <w:rsid w:val="00235692"/>
    <w:rsid w:val="00253067"/>
    <w:rsid w:val="00287157"/>
    <w:rsid w:val="0036689D"/>
    <w:rsid w:val="003846E0"/>
    <w:rsid w:val="00394D29"/>
    <w:rsid w:val="003E689E"/>
    <w:rsid w:val="003F3ABC"/>
    <w:rsid w:val="003F6065"/>
    <w:rsid w:val="00422B62"/>
    <w:rsid w:val="00433C85"/>
    <w:rsid w:val="00471873"/>
    <w:rsid w:val="00490016"/>
    <w:rsid w:val="004D23FD"/>
    <w:rsid w:val="004D3BAE"/>
    <w:rsid w:val="00543AFC"/>
    <w:rsid w:val="005466F4"/>
    <w:rsid w:val="005619AD"/>
    <w:rsid w:val="00573F69"/>
    <w:rsid w:val="00596E1E"/>
    <w:rsid w:val="005B3D62"/>
    <w:rsid w:val="005F5A50"/>
    <w:rsid w:val="005F63B4"/>
    <w:rsid w:val="006116D6"/>
    <w:rsid w:val="006302C3"/>
    <w:rsid w:val="0065398B"/>
    <w:rsid w:val="006749DE"/>
    <w:rsid w:val="006772E8"/>
    <w:rsid w:val="00694541"/>
    <w:rsid w:val="006C6829"/>
    <w:rsid w:val="006D0028"/>
    <w:rsid w:val="00720859"/>
    <w:rsid w:val="007361A8"/>
    <w:rsid w:val="00767333"/>
    <w:rsid w:val="007736C5"/>
    <w:rsid w:val="0078648A"/>
    <w:rsid w:val="007A229E"/>
    <w:rsid w:val="007A41E0"/>
    <w:rsid w:val="007A7831"/>
    <w:rsid w:val="007B37DD"/>
    <w:rsid w:val="007E21CC"/>
    <w:rsid w:val="008018AF"/>
    <w:rsid w:val="00810BC0"/>
    <w:rsid w:val="00846B00"/>
    <w:rsid w:val="008965E3"/>
    <w:rsid w:val="008C4E1C"/>
    <w:rsid w:val="00906B8E"/>
    <w:rsid w:val="009341E2"/>
    <w:rsid w:val="009537E7"/>
    <w:rsid w:val="0097618D"/>
    <w:rsid w:val="009A0DA8"/>
    <w:rsid w:val="009F2624"/>
    <w:rsid w:val="009F29FC"/>
    <w:rsid w:val="00A04546"/>
    <w:rsid w:val="00A13C80"/>
    <w:rsid w:val="00A22219"/>
    <w:rsid w:val="00A766B8"/>
    <w:rsid w:val="00AB6C65"/>
    <w:rsid w:val="00B503D6"/>
    <w:rsid w:val="00B5564A"/>
    <w:rsid w:val="00B55C82"/>
    <w:rsid w:val="00BA147A"/>
    <w:rsid w:val="00BB500E"/>
    <w:rsid w:val="00BD4722"/>
    <w:rsid w:val="00BE5355"/>
    <w:rsid w:val="00C010C0"/>
    <w:rsid w:val="00C13E8E"/>
    <w:rsid w:val="00C34F7E"/>
    <w:rsid w:val="00C36FA6"/>
    <w:rsid w:val="00C432A1"/>
    <w:rsid w:val="00C458AE"/>
    <w:rsid w:val="00C677EE"/>
    <w:rsid w:val="00C74FCE"/>
    <w:rsid w:val="00CA03A6"/>
    <w:rsid w:val="00CB7997"/>
    <w:rsid w:val="00CE37F3"/>
    <w:rsid w:val="00D14924"/>
    <w:rsid w:val="00D63BB6"/>
    <w:rsid w:val="00D74123"/>
    <w:rsid w:val="00D74932"/>
    <w:rsid w:val="00D81DE4"/>
    <w:rsid w:val="00D8221C"/>
    <w:rsid w:val="00D9203A"/>
    <w:rsid w:val="00DF43B2"/>
    <w:rsid w:val="00E12E22"/>
    <w:rsid w:val="00E2627F"/>
    <w:rsid w:val="00E32F7B"/>
    <w:rsid w:val="00E42147"/>
    <w:rsid w:val="00E47235"/>
    <w:rsid w:val="00E531C7"/>
    <w:rsid w:val="00E80980"/>
    <w:rsid w:val="00E87A0C"/>
    <w:rsid w:val="00E90795"/>
    <w:rsid w:val="00EA5CA0"/>
    <w:rsid w:val="00EC77A3"/>
    <w:rsid w:val="00EE3C80"/>
    <w:rsid w:val="00EF020A"/>
    <w:rsid w:val="00F05F11"/>
    <w:rsid w:val="00F2091B"/>
    <w:rsid w:val="00F62A51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4FF9"/>
  <w15:chartTrackingRefBased/>
  <w15:docId w15:val="{D241CA53-7A4F-4FC2-8A0C-90AE637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="Times New Roman"/>
        <w:b/>
        <w:caps/>
        <w:sz w:val="32"/>
        <w:szCs w:val="3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D8"/>
    <w:pPr>
      <w:spacing w:after="0" w:line="220" w:lineRule="atLeast"/>
    </w:pPr>
    <w:rPr>
      <w:rFonts w:ascii="Calibri" w:hAnsi="Calibri"/>
      <w:b w:val="0"/>
      <w:caps w:val="0"/>
      <w:kern w:val="10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D74123"/>
    <w:pPr>
      <w:keepNext/>
      <w:keepLines/>
      <w:spacing w:after="240"/>
      <w:outlineLvl w:val="0"/>
    </w:pPr>
    <w:rPr>
      <w:rFonts w:cs="Arial"/>
      <w:b/>
      <w:bCs/>
      <w:szCs w:val="32"/>
    </w:rPr>
  </w:style>
  <w:style w:type="paragraph" w:styleId="Titre2">
    <w:name w:val="heading 2"/>
    <w:basedOn w:val="Titre1"/>
    <w:next w:val="Retraitnormal"/>
    <w:link w:val="Titre2Car"/>
    <w:autoRedefine/>
    <w:qFormat/>
    <w:rsid w:val="007736C5"/>
    <w:pPr>
      <w:framePr w:hSpace="141" w:wrap="around" w:vAnchor="text" w:hAnchor="text" w:y="1"/>
      <w:numPr>
        <w:numId w:val="8"/>
      </w:numPr>
      <w:tabs>
        <w:tab w:val="clear" w:pos="720"/>
        <w:tab w:val="left" w:pos="709"/>
      </w:tabs>
      <w:spacing w:line="240" w:lineRule="auto"/>
      <w:ind w:hanging="360"/>
      <w:suppressOverlap/>
      <w:outlineLvl w:val="1"/>
    </w:pPr>
    <w:rPr>
      <w:b w:val="0"/>
      <w:bCs w:val="0"/>
      <w:iCs/>
      <w:caps/>
      <w:kern w:val="32"/>
      <w:szCs w:val="28"/>
      <w:lang w:val="de-DE" w:eastAsia="de-DE"/>
    </w:rPr>
  </w:style>
  <w:style w:type="paragraph" w:styleId="Titre3">
    <w:name w:val="heading 3"/>
    <w:basedOn w:val="Normal"/>
    <w:next w:val="Normal"/>
    <w:link w:val="Titre3Car"/>
    <w:qFormat/>
    <w:rsid w:val="00D74123"/>
    <w:pPr>
      <w:keepNext/>
      <w:keepLines/>
      <w:numPr>
        <w:ilvl w:val="2"/>
        <w:numId w:val="5"/>
      </w:numPr>
      <w:spacing w:after="24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D74123"/>
    <w:pPr>
      <w:keepNext/>
      <w:numPr>
        <w:numId w:val="6"/>
      </w:numPr>
      <w:spacing w:before="240" w:after="60" w:line="240" w:lineRule="auto"/>
      <w:jc w:val="both"/>
      <w:outlineLvl w:val="3"/>
    </w:pPr>
    <w:rPr>
      <w:rFonts w:asciiTheme="minorHAnsi" w:hAnsiTheme="minorHAnsi" w:cs="Arial"/>
      <w:b/>
      <w:bCs/>
      <w:color w:val="000000"/>
      <w:kern w:val="0"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4123"/>
    <w:rPr>
      <w:rFonts w:ascii="Calibri" w:hAnsi="Calibri" w:cs="Arial"/>
      <w:bCs/>
      <w:caps w:val="0"/>
      <w:kern w:val="10"/>
      <w:sz w:val="22"/>
    </w:rPr>
  </w:style>
  <w:style w:type="character" w:customStyle="1" w:styleId="Titre2Car">
    <w:name w:val="Titre 2 Car"/>
    <w:basedOn w:val="Titre1Car"/>
    <w:link w:val="Titre2"/>
    <w:rsid w:val="007736C5"/>
    <w:rPr>
      <w:rFonts w:ascii="Calibri" w:hAnsi="Calibri" w:cs="Arial"/>
      <w:b w:val="0"/>
      <w:bCs w:val="0"/>
      <w:iCs/>
      <w:caps/>
      <w:kern w:val="32"/>
      <w:sz w:val="22"/>
      <w:szCs w:val="28"/>
      <w:lang w:val="de-DE" w:eastAsia="de-DE"/>
    </w:rPr>
  </w:style>
  <w:style w:type="character" w:styleId="lev">
    <w:name w:val="Strong"/>
    <w:basedOn w:val="Policepardfaut"/>
    <w:qFormat/>
    <w:rsid w:val="00D74123"/>
    <w:rPr>
      <w:rFonts w:ascii="Calibri" w:hAnsi="Calibri"/>
      <w:b w:val="0"/>
      <w:bCs/>
      <w:lang w:val="de-CH"/>
    </w:rPr>
  </w:style>
  <w:style w:type="paragraph" w:customStyle="1" w:styleId="Grossbuchstaben">
    <w:name w:val="Grossbuchstaben"/>
    <w:basedOn w:val="Normal"/>
    <w:qFormat/>
    <w:rsid w:val="00D74123"/>
    <w:rPr>
      <w:szCs w:val="22"/>
      <w:lang w:val="en-US"/>
    </w:rPr>
  </w:style>
  <w:style w:type="character" w:styleId="Accentuation">
    <w:name w:val="Emphasis"/>
    <w:basedOn w:val="Policepardfaut"/>
    <w:qFormat/>
    <w:rsid w:val="00D74123"/>
    <w:rPr>
      <w:rFonts w:ascii="Calibri" w:hAnsi="Calibri"/>
      <w:i/>
      <w:iCs/>
      <w:lang w:val="de-CH"/>
    </w:rPr>
  </w:style>
  <w:style w:type="paragraph" w:customStyle="1" w:styleId="Standardklein">
    <w:name w:val="Standard_klein"/>
    <w:basedOn w:val="Normal"/>
    <w:qFormat/>
    <w:rsid w:val="00062182"/>
    <w:rPr>
      <w:szCs w:val="16"/>
    </w:rPr>
  </w:style>
  <w:style w:type="character" w:customStyle="1" w:styleId="Titre3Car">
    <w:name w:val="Titre 3 Car"/>
    <w:basedOn w:val="Policepardfaut"/>
    <w:link w:val="Titre3"/>
    <w:rsid w:val="00D74123"/>
    <w:rPr>
      <w:rFonts w:ascii="Calibri" w:hAnsi="Calibri" w:cs="Arial"/>
      <w:bCs/>
      <w:caps w:val="0"/>
      <w:kern w:val="10"/>
      <w:sz w:val="22"/>
      <w:szCs w:val="26"/>
    </w:rPr>
  </w:style>
  <w:style w:type="paragraph" w:styleId="Sous-titre">
    <w:name w:val="Subtitle"/>
    <w:basedOn w:val="Normal"/>
    <w:next w:val="Normal"/>
    <w:link w:val="Sous-titreCar"/>
    <w:qFormat/>
    <w:rsid w:val="00D74123"/>
    <w:pPr>
      <w:spacing w:after="60"/>
      <w:jc w:val="center"/>
      <w:outlineLvl w:val="1"/>
    </w:pPr>
    <w:rPr>
      <w:rFonts w:eastAsiaTheme="majorEastAsia" w:cstheme="majorBidi"/>
      <w:b/>
      <w:caps/>
    </w:rPr>
  </w:style>
  <w:style w:type="character" w:customStyle="1" w:styleId="Sous-titreCar">
    <w:name w:val="Sous-titre Car"/>
    <w:basedOn w:val="Policepardfaut"/>
    <w:link w:val="Sous-titre"/>
    <w:rsid w:val="00D74123"/>
    <w:rPr>
      <w:rFonts w:ascii="Calibri" w:eastAsiaTheme="majorEastAsia" w:hAnsi="Calibri" w:cstheme="majorBidi"/>
      <w:kern w:val="10"/>
      <w:sz w:val="22"/>
      <w:szCs w:val="24"/>
    </w:rPr>
  </w:style>
  <w:style w:type="paragraph" w:styleId="Titre">
    <w:name w:val="Title"/>
    <w:basedOn w:val="Normal"/>
    <w:next w:val="Normal"/>
    <w:link w:val="TitreCar"/>
    <w:qFormat/>
    <w:rsid w:val="00D74123"/>
    <w:pPr>
      <w:keepNext/>
      <w:keepLines/>
    </w:pPr>
    <w:rPr>
      <w:rFonts w:cs="Arial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D74123"/>
    <w:rPr>
      <w:rFonts w:ascii="Calibri" w:hAnsi="Calibri" w:cs="Arial"/>
      <w:bCs/>
      <w:caps w:val="0"/>
      <w:kern w:val="28"/>
      <w:sz w:val="24"/>
    </w:rPr>
  </w:style>
  <w:style w:type="character" w:customStyle="1" w:styleId="Titre4Car">
    <w:name w:val="Titre 4 Car"/>
    <w:basedOn w:val="Policepardfaut"/>
    <w:link w:val="Titre4"/>
    <w:rsid w:val="00D74123"/>
    <w:rPr>
      <w:rFonts w:asciiTheme="minorHAnsi" w:hAnsiTheme="minorHAnsi" w:cs="Arial"/>
      <w:bCs/>
      <w:caps w:val="0"/>
      <w:color w:val="000000"/>
      <w:sz w:val="22"/>
      <w:szCs w:val="22"/>
      <w:lang w:eastAsia="de-DE"/>
    </w:rPr>
  </w:style>
  <w:style w:type="paragraph" w:styleId="Retraitnormal">
    <w:name w:val="Normal Indent"/>
    <w:basedOn w:val="Normal"/>
    <w:uiPriority w:val="99"/>
    <w:semiHidden/>
    <w:unhideWhenUsed/>
    <w:rsid w:val="007736C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087E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EDE"/>
    <w:rPr>
      <w:rFonts w:ascii="Calibri" w:hAnsi="Calibri"/>
      <w:b w:val="0"/>
      <w:caps w:val="0"/>
      <w:kern w:val="10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7E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EDE"/>
    <w:rPr>
      <w:rFonts w:ascii="Calibri" w:hAnsi="Calibri"/>
      <w:b w:val="0"/>
      <w:caps w:val="0"/>
      <w:kern w:val="10"/>
      <w:sz w:val="22"/>
      <w:szCs w:val="24"/>
    </w:rPr>
  </w:style>
  <w:style w:type="table" w:styleId="Grilledutableau">
    <w:name w:val="Table Grid"/>
    <w:basedOn w:val="TableauNormal"/>
    <w:uiPriority w:val="59"/>
    <w:rsid w:val="00A0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73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C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C80"/>
    <w:rPr>
      <w:rFonts w:ascii="Segoe UI" w:hAnsi="Segoe UI" w:cs="Segoe UI"/>
      <w:b w:val="0"/>
      <w:caps w:val="0"/>
      <w:kern w:val="10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D231A"/>
    <w:pPr>
      <w:spacing w:after="0" w:line="240" w:lineRule="atLeast"/>
    </w:pPr>
    <w:rPr>
      <w:rFonts w:asciiTheme="minorHAnsi" w:eastAsiaTheme="minorHAnsi" w:hAnsiTheme="minorHAnsi" w:cstheme="minorBidi"/>
      <w:b w:val="0"/>
      <w:caps w:val="0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231A"/>
    <w:rPr>
      <w:rFonts w:asciiTheme="minorHAnsi" w:eastAsiaTheme="minorHAnsi" w:hAnsiTheme="minorHAnsi" w:cstheme="minorBidi"/>
      <w:b w:val="0"/>
      <w:caps w:val="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E472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72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7235"/>
    <w:rPr>
      <w:rFonts w:ascii="Calibri" w:hAnsi="Calibri"/>
      <w:b w:val="0"/>
      <w:caps w:val="0"/>
      <w:kern w:val="1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72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7235"/>
    <w:rPr>
      <w:rFonts w:ascii="Calibri" w:hAnsi="Calibri"/>
      <w:b/>
      <w:bCs/>
      <w:caps w:val="0"/>
      <w:kern w:val="1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62A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A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th0985\AppData\Local\Temp\CMIAXIOMA\View_6863f38b164741aaa6e20a013bdf253f\www.starlink.com" TargetMode="External"/><Relationship Id="rId13" Type="http://schemas.openxmlformats.org/officeDocument/2006/relationships/hyperlink" Target="https://www.sbb.ch/fr/horaire/informations-du-trafic-ferroviaire/situation-exploitatio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vd.be.ch/fr/start/themen/abfal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vd.be.ch/fr/start/themen/wasser/wasserversorgun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vd.be.ch/fr/start/themen/wasser/wasserversorg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m.sid.be.ch/fr/start/themen/bevoelkerungsschutz-zivilschutz/notfalltreffpunkte/gemeindeinformationen.html" TargetMode="External"/><Relationship Id="rId14" Type="http://schemas.openxmlformats.org/officeDocument/2006/relationships/hyperlink" Target="https://myfeuerwehr.ch/organisation/feuerweh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22F9-43F7-4668-ACA8-265D605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2251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Stadtverwaltung Burgdorf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Zwahlen Sibylle</dc:creator>
  <cp:keywords/>
  <dc:description/>
  <cp:lastModifiedBy>Roxane Jacobi</cp:lastModifiedBy>
  <cp:revision>25</cp:revision>
  <cp:lastPrinted>2023-08-14T11:40:00Z</cp:lastPrinted>
  <dcterms:created xsi:type="dcterms:W3CDTF">2023-02-27T08:13:00Z</dcterms:created>
  <dcterms:modified xsi:type="dcterms:W3CDTF">2023-08-20T20:52:00Z</dcterms:modified>
</cp:coreProperties>
</file>